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9" w:line="251" w:lineRule="auto"/>
        <w:ind w:left="2817" w:right="209" w:hanging="2460"/>
        <w:rPr>
          <w:rFonts w:hint="eastAsia" w:ascii="仿宋" w:hAnsi="仿宋" w:eastAsia="仿宋" w:cs="仿宋"/>
          <w:b w:val="0"/>
          <w:bCs w:val="0"/>
          <w:spacing w:val="10"/>
          <w:sz w:val="32"/>
          <w:szCs w:val="32"/>
          <w:lang w:eastAsia="zh-CN"/>
          <w14:textOutline w14:w="9448" w14:cap="flat" w14:cmpd="sng">
            <w14:solidFill>
              <w14:srgbClr w14:val="000000"/>
            </w14:solidFill>
            <w14:prstDash w14:val="solid"/>
            <w14:miter w14:val="0"/>
          </w14:textOutline>
        </w:rPr>
      </w:pPr>
      <w:r>
        <w:rPr>
          <w:rFonts w:hint="eastAsia" w:ascii="仿宋" w:hAnsi="仿宋" w:eastAsia="仿宋" w:cs="仿宋"/>
          <w:b w:val="0"/>
          <w:bCs w:val="0"/>
          <w:spacing w:val="10"/>
          <w:sz w:val="32"/>
          <w:szCs w:val="32"/>
          <w:lang w:eastAsia="zh-CN"/>
          <w14:textOutline w14:w="9448" w14:cap="flat" w14:cmpd="sng">
            <w14:solidFill>
              <w14:srgbClr w14:val="000000"/>
            </w14:solidFill>
            <w14:prstDash w14:val="solid"/>
            <w14:miter w14:val="0"/>
          </w14:textOutline>
        </w:rPr>
        <w:t>附件二：</w:t>
      </w:r>
    </w:p>
    <w:p>
      <w:pPr>
        <w:spacing w:before="169" w:line="251" w:lineRule="auto"/>
        <w:ind w:left="2817" w:right="209" w:hanging="2460"/>
        <w:rPr>
          <w:rFonts w:ascii="宋体" w:hAnsi="宋体" w:eastAsia="宋体" w:cs="宋体"/>
          <w:spacing w:val="10"/>
          <w:sz w:val="52"/>
          <w:szCs w:val="52"/>
          <w14:textOutline w14:w="9448" w14:cap="flat" w14:cmpd="sng">
            <w14:solidFill>
              <w14:srgbClr w14:val="000000"/>
            </w14:solidFill>
            <w14:prstDash w14:val="solid"/>
            <w14:miter w14:val="0"/>
          </w14:textOutline>
        </w:rPr>
      </w:pPr>
      <w:bookmarkStart w:id="0" w:name="_GoBack"/>
      <w:bookmarkEnd w:id="0"/>
    </w:p>
    <w:p>
      <w:pPr>
        <w:spacing w:before="169" w:line="251" w:lineRule="auto"/>
        <w:ind w:left="2817" w:right="209" w:hanging="2460"/>
        <w:jc w:val="center"/>
        <w:rPr>
          <w:rFonts w:hint="eastAsia" w:ascii="宋体" w:hAnsi="宋体" w:eastAsia="宋体" w:cs="宋体"/>
          <w:spacing w:val="10"/>
          <w:sz w:val="52"/>
          <w:szCs w:val="52"/>
          <w:lang w:eastAsia="zh-CN"/>
          <w14:textOutline w14:w="9448" w14:cap="flat" w14:cmpd="sng">
            <w14:solidFill>
              <w14:srgbClr w14:val="000000"/>
            </w14:solidFill>
            <w14:prstDash w14:val="solid"/>
            <w14:miter w14:val="0"/>
          </w14:textOutline>
        </w:rPr>
      </w:pPr>
      <w:r>
        <w:rPr>
          <w:rFonts w:ascii="宋体" w:hAnsi="宋体" w:eastAsia="宋体" w:cs="宋体"/>
          <w:spacing w:val="10"/>
          <w:sz w:val="52"/>
          <w:szCs w:val="52"/>
          <w14:textOutline w14:w="9448" w14:cap="flat" w14:cmpd="sng">
            <w14:solidFill>
              <w14:srgbClr w14:val="000000"/>
            </w14:solidFill>
            <w14:prstDash w14:val="solid"/>
            <w14:miter w14:val="0"/>
          </w14:textOutline>
        </w:rPr>
        <w:t>2021年度</w:t>
      </w:r>
      <w:r>
        <w:rPr>
          <w:rFonts w:hint="eastAsia" w:ascii="宋体" w:hAnsi="宋体" w:eastAsia="宋体" w:cs="宋体"/>
          <w:spacing w:val="10"/>
          <w:sz w:val="52"/>
          <w:szCs w:val="52"/>
          <w:lang w:eastAsia="zh-CN"/>
          <w14:textOutline w14:w="9448" w14:cap="flat" w14:cmpd="sng">
            <w14:solidFill>
              <w14:srgbClr w14:val="000000"/>
            </w14:solidFill>
            <w14:prstDash w14:val="solid"/>
            <w14:miter w14:val="0"/>
          </w14:textOutline>
        </w:rPr>
        <w:t>湖南省社会科学院</w:t>
      </w:r>
    </w:p>
    <w:p>
      <w:pPr>
        <w:spacing w:before="169" w:line="251" w:lineRule="auto"/>
        <w:ind w:left="2817" w:right="209" w:hanging="2460"/>
        <w:jc w:val="center"/>
        <w:rPr>
          <w:rFonts w:ascii="宋体" w:hAnsi="宋体" w:eastAsia="宋体" w:cs="宋体"/>
          <w:sz w:val="52"/>
          <w:szCs w:val="52"/>
        </w:rPr>
      </w:pPr>
      <w:r>
        <w:rPr>
          <w:rFonts w:ascii="宋体" w:hAnsi="宋体" w:eastAsia="宋体" w:cs="宋体"/>
          <w:spacing w:val="10"/>
          <w:sz w:val="52"/>
          <w:szCs w:val="52"/>
          <w14:textOutline w14:w="9448" w14:cap="flat" w14:cmpd="sng">
            <w14:solidFill>
              <w14:srgbClr w14:val="000000"/>
            </w14:solidFill>
            <w14:prstDash w14:val="solid"/>
            <w14:miter w14:val="0"/>
          </w14:textOutline>
        </w:rPr>
        <w:t>整体支出</w:t>
      </w:r>
      <w:r>
        <w:rPr>
          <w:rFonts w:ascii="宋体" w:hAnsi="宋体" w:eastAsia="宋体" w:cs="宋体"/>
          <w:sz w:val="52"/>
          <w:szCs w:val="52"/>
          <w14:textOutline w14:w="9448" w14:cap="flat" w14:cmpd="sng">
            <w14:solidFill>
              <w14:srgbClr w14:val="000000"/>
            </w14:solidFill>
            <w14:prstDash w14:val="solid"/>
            <w14:miter w14:val="0"/>
          </w14:textOutline>
        </w:rPr>
        <w:t>绩效自评报告</w:t>
      </w:r>
    </w:p>
    <w:p>
      <w:pPr>
        <w:spacing w:line="244" w:lineRule="auto"/>
        <w:jc w:val="center"/>
        <w:rPr>
          <w:rFonts w:ascii="Arial"/>
          <w:sz w:val="21"/>
        </w:rPr>
      </w:pPr>
    </w:p>
    <w:p>
      <w:pPr>
        <w:spacing w:line="244" w:lineRule="auto"/>
        <w:jc w:val="center"/>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104" w:line="221" w:lineRule="auto"/>
        <w:ind w:firstLine="1960"/>
        <w:rPr>
          <w:rFonts w:hint="default" w:ascii="仿宋" w:hAnsi="仿宋" w:eastAsia="仿宋" w:cs="仿宋"/>
          <w:sz w:val="32"/>
          <w:szCs w:val="32"/>
          <w:lang w:val="en-US" w:eastAsia="zh-CN"/>
        </w:rPr>
      </w:pPr>
      <w:r>
        <w:rPr>
          <w:rFonts w:ascii="仿宋" w:hAnsi="仿宋" w:eastAsia="仿宋" w:cs="仿宋"/>
          <w:spacing w:val="-14"/>
          <w:w w:val="92"/>
          <w:sz w:val="32"/>
          <w:szCs w:val="32"/>
        </w:rPr>
        <w:t>单位名称:</w:t>
      </w:r>
      <w:r>
        <w:rPr>
          <w:rFonts w:ascii="仿宋" w:hAnsi="仿宋" w:eastAsia="仿宋" w:cs="仿宋"/>
          <w:spacing w:val="18"/>
          <w:sz w:val="32"/>
          <w:szCs w:val="32"/>
        </w:rPr>
        <w:t xml:space="preserve">  </w:t>
      </w:r>
      <w:r>
        <w:rPr>
          <w:rFonts w:ascii="仿宋" w:hAnsi="仿宋" w:eastAsia="仿宋" w:cs="仿宋"/>
          <w:spacing w:val="-91"/>
          <w:sz w:val="32"/>
          <w:szCs w:val="32"/>
          <w:u w:val="single" w:color="auto"/>
        </w:rPr>
        <w:t xml:space="preserve"> </w:t>
      </w:r>
      <w:r>
        <w:rPr>
          <w:rFonts w:hint="eastAsia" w:ascii="仿宋" w:hAnsi="仿宋" w:eastAsia="仿宋" w:cs="仿宋"/>
          <w:spacing w:val="-14"/>
          <w:w w:val="92"/>
          <w:sz w:val="32"/>
          <w:szCs w:val="32"/>
          <w:u w:val="single" w:color="auto"/>
          <w:lang w:val="en-US" w:eastAsia="zh-CN"/>
        </w:rPr>
        <w:t>湖南省社会科学院</w:t>
      </w:r>
    </w:p>
    <w:p>
      <w:pPr>
        <w:spacing w:before="230" w:line="822" w:lineRule="exact"/>
        <w:ind w:firstLine="3432" w:firstLineChars="1200"/>
        <w:rPr>
          <w:rFonts w:ascii="仿宋" w:hAnsi="仿宋" w:eastAsia="仿宋" w:cs="仿宋"/>
          <w:sz w:val="33"/>
          <w:szCs w:val="33"/>
        </w:rPr>
      </w:pPr>
      <w:r>
        <w:rPr>
          <w:rFonts w:hint="eastAsia" w:ascii="仿宋" w:hAnsi="仿宋" w:eastAsia="仿宋" w:cs="仿宋"/>
          <w:spacing w:val="-22"/>
          <w:position w:val="37"/>
          <w:sz w:val="33"/>
          <w:szCs w:val="33"/>
          <w:lang w:val="en-US" w:eastAsia="zh-CN"/>
        </w:rPr>
        <w:t>2022</w:t>
      </w:r>
      <w:r>
        <w:rPr>
          <w:rFonts w:ascii="仿宋" w:hAnsi="仿宋" w:eastAsia="仿宋" w:cs="仿宋"/>
          <w:spacing w:val="-22"/>
          <w:position w:val="37"/>
          <w:sz w:val="33"/>
          <w:szCs w:val="33"/>
        </w:rPr>
        <w:t>年</w:t>
      </w:r>
      <w:r>
        <w:rPr>
          <w:rFonts w:hint="eastAsia" w:ascii="仿宋" w:hAnsi="仿宋" w:eastAsia="仿宋" w:cs="仿宋"/>
          <w:spacing w:val="19"/>
          <w:position w:val="37"/>
          <w:sz w:val="33"/>
          <w:szCs w:val="33"/>
          <w:lang w:val="en-US" w:eastAsia="zh-CN"/>
        </w:rPr>
        <w:t>5</w:t>
      </w:r>
      <w:r>
        <w:rPr>
          <w:rFonts w:ascii="仿宋" w:hAnsi="仿宋" w:eastAsia="仿宋" w:cs="仿宋"/>
          <w:spacing w:val="-22"/>
          <w:position w:val="37"/>
          <w:sz w:val="33"/>
          <w:szCs w:val="33"/>
        </w:rPr>
        <w:t>月</w:t>
      </w:r>
      <w:r>
        <w:rPr>
          <w:rFonts w:hint="eastAsia" w:ascii="仿宋" w:hAnsi="仿宋" w:eastAsia="仿宋" w:cs="仿宋"/>
          <w:spacing w:val="19"/>
          <w:position w:val="37"/>
          <w:sz w:val="33"/>
          <w:szCs w:val="33"/>
          <w:lang w:val="en-US" w:eastAsia="zh-CN"/>
        </w:rPr>
        <w:t>30</w:t>
      </w:r>
      <w:r>
        <w:rPr>
          <w:rFonts w:ascii="仿宋" w:hAnsi="仿宋" w:eastAsia="仿宋" w:cs="仿宋"/>
          <w:spacing w:val="-22"/>
          <w:position w:val="37"/>
          <w:sz w:val="33"/>
          <w:szCs w:val="33"/>
        </w:rPr>
        <w:t>日</w:t>
      </w:r>
    </w:p>
    <w:p>
      <w:pPr>
        <w:spacing w:before="1" w:line="223" w:lineRule="auto"/>
        <w:ind w:firstLine="3430"/>
        <w:rPr>
          <w:rFonts w:ascii="仿宋" w:hAnsi="仿宋" w:eastAsia="仿宋" w:cs="仿宋"/>
          <w:sz w:val="33"/>
          <w:szCs w:val="33"/>
        </w:rPr>
      </w:pPr>
      <w:r>
        <w:rPr>
          <w:rFonts w:ascii="仿宋" w:hAnsi="仿宋" w:eastAsia="仿宋" w:cs="仿宋"/>
          <w:spacing w:val="3"/>
          <w:sz w:val="33"/>
          <w:szCs w:val="33"/>
        </w:rPr>
        <w:t>(此页为封面)</w:t>
      </w:r>
    </w:p>
    <w:p>
      <w:pPr>
        <w:sectPr>
          <w:footerReference r:id="rId5" w:type="default"/>
          <w:pgSz w:w="11900" w:h="16830"/>
          <w:pgMar w:top="1310" w:right="1785" w:bottom="400" w:left="1559" w:header="0" w:footer="0"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jc w:val="both"/>
        <w:textAlignment w:val="baseline"/>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湖南省财政厅：</w:t>
      </w:r>
    </w:p>
    <w:p>
      <w:pPr>
        <w:keepNext w:val="0"/>
        <w:keepLines w:val="0"/>
        <w:pageBreakBefore w:val="0"/>
        <w:widowControl w:val="0"/>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根据《湖南省财政厅关于开展202</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rPr>
        <w:t>年度部门整体支出绩效自评工作的通知》（湘財绩【202</w:t>
      </w: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rPr>
        <w:t>】1号）精神，我院开展了部门绩效自评工作，现将有关情况报告如下。</w:t>
      </w:r>
    </w:p>
    <w:p>
      <w:pPr>
        <w:keepNext w:val="0"/>
        <w:keepLines w:val="0"/>
        <w:pageBreakBefore w:val="0"/>
        <w:widowControl w:val="0"/>
        <w:numPr>
          <w:ilvl w:val="0"/>
          <w:numId w:val="0"/>
        </w:numPr>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黑体" w:hAnsi="黑体" w:eastAsia="黑体" w:cs="黑体"/>
          <w:spacing w:val="0"/>
          <w:sz w:val="32"/>
          <w:szCs w:val="32"/>
        </w:rPr>
      </w:pPr>
      <w:r>
        <w:rPr>
          <w:rFonts w:hint="eastAsia" w:ascii="黑体" w:hAnsi="黑体" w:eastAsia="黑体" w:cs="黑体"/>
          <w:spacing w:val="0"/>
          <w:sz w:val="32"/>
          <w:szCs w:val="32"/>
          <w:lang w:eastAsia="zh-CN"/>
        </w:rPr>
        <w:t>一、</w:t>
      </w:r>
      <w:r>
        <w:rPr>
          <w:rFonts w:hint="eastAsia" w:ascii="黑体" w:hAnsi="黑体" w:eastAsia="黑体" w:cs="黑体"/>
          <w:spacing w:val="0"/>
          <w:sz w:val="32"/>
          <w:szCs w:val="32"/>
        </w:rPr>
        <w:t>部门(单位)基本情况</w:t>
      </w:r>
    </w:p>
    <w:p>
      <w:pPr>
        <w:keepNext w:val="0"/>
        <w:keepLines w:val="0"/>
        <w:pageBreakBefore w:val="0"/>
        <w:widowControl w:val="0"/>
        <w:kinsoku w:val="0"/>
        <w:wordWrap/>
        <w:overflowPunct/>
        <w:topLinePunct w:val="0"/>
        <w:autoSpaceDE w:val="0"/>
        <w:autoSpaceDN w:val="0"/>
        <w:bidi w:val="0"/>
        <w:adjustRightInd/>
        <w:snapToGrid w:val="0"/>
        <w:spacing w:line="560" w:lineRule="exact"/>
        <w:ind w:left="0" w:leftChars="0" w:right="0" w:rightChars="0" w:firstLine="643" w:firstLineChars="200"/>
        <w:jc w:val="both"/>
        <w:textAlignment w:val="baseline"/>
        <w:outlineLvl w:val="9"/>
        <w:rPr>
          <w:rFonts w:hint="eastAsia" w:ascii="仿宋_GB2312" w:hAnsi="仿宋_GB2312" w:eastAsia="仿宋_GB2312" w:cs="仿宋_GB2312"/>
          <w:b/>
          <w:spacing w:val="0"/>
          <w:sz w:val="32"/>
          <w:szCs w:val="32"/>
        </w:rPr>
      </w:pPr>
      <w:r>
        <w:rPr>
          <w:rFonts w:hint="eastAsia" w:ascii="仿宋_GB2312" w:hAnsi="仿宋_GB2312" w:eastAsia="仿宋_GB2312" w:cs="仿宋_GB2312"/>
          <w:b/>
          <w:spacing w:val="0"/>
          <w:sz w:val="32"/>
          <w:szCs w:val="32"/>
        </w:rPr>
        <w:t>（一）基本情况</w:t>
      </w:r>
    </w:p>
    <w:p>
      <w:pPr>
        <w:keepNext w:val="0"/>
        <w:keepLines w:val="0"/>
        <w:pageBreakBefore w:val="0"/>
        <w:widowControl w:val="0"/>
        <w:kinsoku w:val="0"/>
        <w:wordWrap/>
        <w:overflowPunct/>
        <w:topLinePunct w:val="0"/>
        <w:autoSpaceDE w:val="0"/>
        <w:autoSpaceDN w:val="0"/>
        <w:bidi w:val="0"/>
        <w:adjustRightInd/>
        <w:snapToGrid w:val="0"/>
        <w:spacing w:line="560" w:lineRule="exact"/>
        <w:ind w:left="0" w:leftChars="0" w:right="0" w:rightChars="0" w:firstLine="643" w:firstLineChars="200"/>
        <w:jc w:val="both"/>
        <w:textAlignment w:val="baseline"/>
        <w:outlineLvl w:val="9"/>
        <w:rPr>
          <w:rFonts w:hint="eastAsia" w:ascii="仿宋_GB2312" w:hAnsi="仿宋_GB2312" w:eastAsia="仿宋_GB2312" w:cs="仿宋_GB2312"/>
          <w:b/>
          <w:spacing w:val="0"/>
          <w:sz w:val="32"/>
          <w:szCs w:val="32"/>
        </w:rPr>
      </w:pPr>
      <w:r>
        <w:rPr>
          <w:rFonts w:hint="eastAsia" w:ascii="仿宋_GB2312" w:hAnsi="仿宋_GB2312" w:eastAsia="仿宋_GB2312" w:cs="仿宋_GB2312"/>
          <w:b/>
          <w:spacing w:val="0"/>
          <w:sz w:val="32"/>
          <w:szCs w:val="32"/>
        </w:rPr>
        <w:t>1．主要职能</w:t>
      </w:r>
    </w:p>
    <w:p>
      <w:pPr>
        <w:keepNext w:val="0"/>
        <w:keepLines w:val="0"/>
        <w:pageBreakBefore w:val="0"/>
        <w:widowControl w:val="0"/>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湖南省社会科学院是进行社会科学研究，承担国家、省社科规划课题和党政部门的研究任务的专门机构。承担的主要职能、职责及业务范围有：</w:t>
      </w:r>
    </w:p>
    <w:p>
      <w:pPr>
        <w:keepNext w:val="0"/>
        <w:keepLines w:val="0"/>
        <w:pageBreakBefore w:val="0"/>
        <w:widowControl w:val="0"/>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①当好思想库、智囊团，为省委省政府决策服务；</w:t>
      </w:r>
    </w:p>
    <w:p>
      <w:pPr>
        <w:keepNext w:val="0"/>
        <w:keepLines w:val="0"/>
        <w:pageBreakBefore w:val="0"/>
        <w:widowControl w:val="0"/>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②开展哲学社会科学研究，促进哲学社会科学繁荣发展</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③承担各级党委政府和相关部办委厅局、企事业单位委托研究项目，服务经济社会发展；</w:t>
      </w:r>
    </w:p>
    <w:p>
      <w:pPr>
        <w:keepNext w:val="0"/>
        <w:keepLines w:val="0"/>
        <w:pageBreakBefore w:val="0"/>
        <w:widowControl w:val="0"/>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④负责全省社科研究系列职称评审工作；</w:t>
      </w:r>
    </w:p>
    <w:p>
      <w:pPr>
        <w:keepNext w:val="0"/>
        <w:keepLines w:val="0"/>
        <w:pageBreakBefore w:val="0"/>
        <w:widowControl w:val="0"/>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⑤负责省情与决策咨询研究课题评审工作；</w:t>
      </w:r>
    </w:p>
    <w:p>
      <w:pPr>
        <w:keepNext w:val="0"/>
        <w:keepLines w:val="0"/>
        <w:pageBreakBefore w:val="0"/>
        <w:widowControl w:val="0"/>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⑥负责社科大院（社科院、社科联、地方志）三家单位的后勤基建工作；</w:t>
      </w:r>
    </w:p>
    <w:p>
      <w:pPr>
        <w:keepNext w:val="0"/>
        <w:keepLines w:val="0"/>
        <w:pageBreakBefore w:val="0"/>
        <w:widowControl w:val="0"/>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⑦承办省委省政府交办的其他工作。</w:t>
      </w:r>
    </w:p>
    <w:p>
      <w:pPr>
        <w:keepNext w:val="0"/>
        <w:keepLines w:val="0"/>
        <w:pageBreakBefore w:val="0"/>
        <w:widowControl w:val="0"/>
        <w:kinsoku w:val="0"/>
        <w:wordWrap/>
        <w:overflowPunct/>
        <w:topLinePunct w:val="0"/>
        <w:autoSpaceDE w:val="0"/>
        <w:autoSpaceDN w:val="0"/>
        <w:bidi w:val="0"/>
        <w:adjustRightInd/>
        <w:snapToGrid w:val="0"/>
        <w:spacing w:line="560" w:lineRule="exact"/>
        <w:ind w:left="0" w:leftChars="0" w:right="0" w:rightChars="0" w:firstLine="643" w:firstLineChars="200"/>
        <w:jc w:val="both"/>
        <w:textAlignment w:val="baseline"/>
        <w:outlineLvl w:val="9"/>
        <w:rPr>
          <w:rFonts w:hint="eastAsia" w:ascii="仿宋_GB2312" w:hAnsi="仿宋_GB2312" w:eastAsia="仿宋_GB2312" w:cs="仿宋_GB2312"/>
          <w:b/>
          <w:spacing w:val="0"/>
          <w:sz w:val="32"/>
          <w:szCs w:val="32"/>
        </w:rPr>
      </w:pPr>
      <w:r>
        <w:rPr>
          <w:rFonts w:hint="eastAsia" w:ascii="仿宋_GB2312" w:hAnsi="仿宋_GB2312" w:eastAsia="仿宋_GB2312" w:cs="仿宋_GB2312"/>
          <w:b/>
          <w:spacing w:val="0"/>
          <w:sz w:val="32"/>
          <w:szCs w:val="32"/>
        </w:rPr>
        <w:t>2．机构情况</w:t>
      </w:r>
    </w:p>
    <w:p>
      <w:pPr>
        <w:keepNext w:val="0"/>
        <w:keepLines w:val="0"/>
        <w:pageBreakBefore w:val="0"/>
        <w:widowControl w:val="0"/>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我院设有6个职能部门：办公室、科研处、人事与离退休工作处、后勤与财务处、机关党委、工会；2个科辅部门</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《求索》杂志社、文献信息中心(图书馆)；9个研究所：文学研究所、历史研究所、哲学研究所、经济研究所、区域经济与绿色发展研究所、产业经济研究所、马克思主义研究所</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社会学研究所、人力资源与改革发展研究所。</w:t>
      </w:r>
    </w:p>
    <w:p>
      <w:pPr>
        <w:keepNext w:val="0"/>
        <w:keepLines w:val="0"/>
        <w:pageBreakBefore w:val="0"/>
        <w:widowControl w:val="0"/>
        <w:kinsoku w:val="0"/>
        <w:wordWrap/>
        <w:overflowPunct/>
        <w:topLinePunct w:val="0"/>
        <w:autoSpaceDE w:val="0"/>
        <w:autoSpaceDN w:val="0"/>
        <w:bidi w:val="0"/>
        <w:adjustRightInd/>
        <w:snapToGrid w:val="0"/>
        <w:spacing w:line="560" w:lineRule="exact"/>
        <w:ind w:left="0" w:leftChars="0" w:right="0" w:rightChars="0" w:firstLine="643" w:firstLineChars="200"/>
        <w:jc w:val="both"/>
        <w:textAlignment w:val="baseline"/>
        <w:outlineLvl w:val="9"/>
        <w:rPr>
          <w:rFonts w:hint="eastAsia" w:ascii="仿宋_GB2312" w:hAnsi="仿宋_GB2312" w:eastAsia="仿宋_GB2312" w:cs="仿宋_GB2312"/>
          <w:b/>
          <w:spacing w:val="0"/>
          <w:sz w:val="32"/>
          <w:szCs w:val="32"/>
        </w:rPr>
      </w:pPr>
      <w:r>
        <w:rPr>
          <w:rFonts w:hint="eastAsia" w:ascii="仿宋_GB2312" w:hAnsi="仿宋_GB2312" w:eastAsia="仿宋_GB2312" w:cs="仿宋_GB2312"/>
          <w:b/>
          <w:spacing w:val="0"/>
          <w:sz w:val="32"/>
          <w:szCs w:val="32"/>
        </w:rPr>
        <w:t>3．人员情况</w:t>
      </w:r>
    </w:p>
    <w:p>
      <w:pPr>
        <w:keepNext w:val="0"/>
        <w:keepLines w:val="0"/>
        <w:pageBreakBefore w:val="0"/>
        <w:widowControl w:val="0"/>
        <w:numPr>
          <w:ilvl w:val="0"/>
          <w:numId w:val="0"/>
        </w:numPr>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我院有人员编制数211人，截止2021年12月31日，实有在职干部198人，离休干部9人，退休干部115人，合计322人。</w:t>
      </w:r>
    </w:p>
    <w:p>
      <w:pPr>
        <w:keepNext w:val="0"/>
        <w:keepLines w:val="0"/>
        <w:pageBreakBefore w:val="0"/>
        <w:widowControl w:val="0"/>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二、一般公共预算支出情况</w:t>
      </w:r>
    </w:p>
    <w:p>
      <w:pPr>
        <w:keepNext w:val="0"/>
        <w:keepLines w:val="0"/>
        <w:pageBreakBefore w:val="0"/>
        <w:widowControl w:val="0"/>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rPr>
        <w:t>(一)</w:t>
      </w:r>
      <w:r>
        <w:rPr>
          <w:rFonts w:hint="eastAsia" w:ascii="仿宋_GB2312" w:hAnsi="仿宋_GB2312" w:eastAsia="仿宋_GB2312" w:cs="仿宋_GB2312"/>
          <w:spacing w:val="0"/>
          <w:sz w:val="32"/>
          <w:szCs w:val="32"/>
          <w:lang w:val="en-US" w:eastAsia="zh-CN"/>
        </w:rPr>
        <w:t>整体收入支出情况</w:t>
      </w:r>
    </w:p>
    <w:p>
      <w:pPr>
        <w:keepNext w:val="0"/>
        <w:keepLines w:val="0"/>
        <w:pageBreakBefore w:val="0"/>
        <w:widowControl w:val="0"/>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rPr>
        <w:t>收入预算，20</w:t>
      </w:r>
      <w:r>
        <w:rPr>
          <w:rFonts w:hint="eastAsia" w:ascii="仿宋_GB2312" w:hAnsi="仿宋_GB2312" w:eastAsia="仿宋_GB2312" w:cs="仿宋_GB2312"/>
          <w:spacing w:val="0"/>
          <w:sz w:val="32"/>
          <w:szCs w:val="32"/>
          <w:lang w:val="en-US" w:eastAsia="zh-CN"/>
        </w:rPr>
        <w:t>21</w:t>
      </w:r>
      <w:r>
        <w:rPr>
          <w:rFonts w:hint="eastAsia" w:ascii="仿宋_GB2312" w:hAnsi="仿宋_GB2312" w:eastAsia="仿宋_GB2312" w:cs="仿宋_GB2312"/>
          <w:spacing w:val="0"/>
          <w:sz w:val="32"/>
          <w:szCs w:val="32"/>
        </w:rPr>
        <w:t>年年初预算收入</w:t>
      </w:r>
      <w:r>
        <w:rPr>
          <w:rFonts w:hint="eastAsia" w:ascii="仿宋_GB2312" w:hAnsi="仿宋_GB2312" w:eastAsia="仿宋_GB2312" w:cs="仿宋_GB2312"/>
          <w:spacing w:val="0"/>
          <w:sz w:val="32"/>
          <w:szCs w:val="32"/>
          <w:lang w:val="en-US" w:eastAsia="zh-CN"/>
        </w:rPr>
        <w:t>5573.81</w:t>
      </w:r>
      <w:r>
        <w:rPr>
          <w:rFonts w:hint="eastAsia" w:ascii="仿宋_GB2312" w:hAnsi="仿宋_GB2312" w:eastAsia="仿宋_GB2312" w:cs="仿宋_GB2312"/>
          <w:spacing w:val="0"/>
          <w:sz w:val="32"/>
          <w:szCs w:val="32"/>
        </w:rPr>
        <w:t>万元。其中，经费拨款</w:t>
      </w:r>
      <w:r>
        <w:rPr>
          <w:rFonts w:hint="eastAsia" w:ascii="仿宋_GB2312" w:hAnsi="仿宋_GB2312" w:eastAsia="仿宋_GB2312" w:cs="仿宋_GB2312"/>
          <w:spacing w:val="0"/>
          <w:sz w:val="32"/>
          <w:szCs w:val="32"/>
          <w:lang w:val="en-US" w:eastAsia="zh-CN"/>
        </w:rPr>
        <w:t>5148.01</w:t>
      </w:r>
      <w:r>
        <w:rPr>
          <w:rFonts w:hint="eastAsia" w:ascii="仿宋_GB2312" w:hAnsi="仿宋_GB2312" w:eastAsia="仿宋_GB2312" w:cs="仿宋_GB2312"/>
          <w:spacing w:val="0"/>
          <w:sz w:val="32"/>
          <w:szCs w:val="32"/>
        </w:rPr>
        <w:t>万元，纳入一般公共预算管理的非税收入拨款</w:t>
      </w:r>
      <w:r>
        <w:rPr>
          <w:rFonts w:hint="eastAsia" w:ascii="仿宋_GB2312" w:hAnsi="仿宋_GB2312" w:eastAsia="仿宋_GB2312" w:cs="仿宋_GB2312"/>
          <w:spacing w:val="0"/>
          <w:sz w:val="32"/>
          <w:szCs w:val="32"/>
          <w:lang w:val="en-US" w:eastAsia="zh-CN"/>
        </w:rPr>
        <w:t>115</w:t>
      </w:r>
      <w:r>
        <w:rPr>
          <w:rFonts w:hint="eastAsia" w:ascii="仿宋_GB2312" w:hAnsi="仿宋_GB2312" w:eastAsia="仿宋_GB2312" w:cs="仿宋_GB2312"/>
          <w:spacing w:val="0"/>
          <w:sz w:val="32"/>
          <w:szCs w:val="32"/>
        </w:rPr>
        <w:t>万元</w:t>
      </w:r>
      <w:r>
        <w:rPr>
          <w:rFonts w:hint="eastAsia" w:ascii="仿宋_GB2312" w:hAnsi="仿宋_GB2312" w:eastAsia="仿宋_GB2312" w:cs="仿宋_GB2312"/>
          <w:spacing w:val="0"/>
          <w:sz w:val="32"/>
          <w:szCs w:val="32"/>
          <w:lang w:eastAsia="zh-CN"/>
        </w:rPr>
        <w:t>，上年结转结余</w:t>
      </w:r>
      <w:r>
        <w:rPr>
          <w:rFonts w:hint="eastAsia" w:ascii="仿宋_GB2312" w:hAnsi="仿宋_GB2312" w:eastAsia="仿宋_GB2312" w:cs="仿宋_GB2312"/>
          <w:spacing w:val="0"/>
          <w:sz w:val="32"/>
          <w:szCs w:val="32"/>
          <w:lang w:val="en-US" w:eastAsia="zh-CN"/>
        </w:rPr>
        <w:t>310.8万元。</w:t>
      </w:r>
    </w:p>
    <w:p>
      <w:pPr>
        <w:keepNext w:val="0"/>
        <w:keepLines w:val="0"/>
        <w:pageBreakBefore w:val="0"/>
        <w:widowControl w:val="0"/>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支出预算，20</w:t>
      </w:r>
      <w:r>
        <w:rPr>
          <w:rFonts w:hint="eastAsia" w:ascii="仿宋_GB2312" w:hAnsi="仿宋_GB2312" w:eastAsia="仿宋_GB2312" w:cs="仿宋_GB2312"/>
          <w:spacing w:val="0"/>
          <w:sz w:val="32"/>
          <w:szCs w:val="32"/>
          <w:lang w:val="en-US" w:eastAsia="zh-CN"/>
        </w:rPr>
        <w:t>21</w:t>
      </w:r>
      <w:r>
        <w:rPr>
          <w:rFonts w:hint="eastAsia" w:ascii="仿宋_GB2312" w:hAnsi="仿宋_GB2312" w:eastAsia="仿宋_GB2312" w:cs="仿宋_GB2312"/>
          <w:spacing w:val="0"/>
          <w:sz w:val="32"/>
          <w:szCs w:val="32"/>
        </w:rPr>
        <w:t>年年初预算支出</w:t>
      </w:r>
      <w:r>
        <w:rPr>
          <w:rFonts w:hint="eastAsia" w:ascii="仿宋_GB2312" w:hAnsi="仿宋_GB2312" w:eastAsia="仿宋_GB2312" w:cs="仿宋_GB2312"/>
          <w:spacing w:val="0"/>
          <w:sz w:val="32"/>
          <w:szCs w:val="32"/>
          <w:lang w:val="en-US" w:eastAsia="zh-CN"/>
        </w:rPr>
        <w:t>5573.81</w:t>
      </w:r>
      <w:r>
        <w:rPr>
          <w:rFonts w:hint="eastAsia" w:ascii="仿宋_GB2312" w:hAnsi="仿宋_GB2312" w:eastAsia="仿宋_GB2312" w:cs="仿宋_GB2312"/>
          <w:spacing w:val="0"/>
          <w:sz w:val="32"/>
          <w:szCs w:val="32"/>
        </w:rPr>
        <w:t>万元。其中：工资福利支出</w:t>
      </w:r>
      <w:r>
        <w:rPr>
          <w:rFonts w:hint="eastAsia" w:ascii="仿宋_GB2312" w:hAnsi="仿宋_GB2312" w:eastAsia="仿宋_GB2312" w:cs="仿宋_GB2312"/>
          <w:spacing w:val="0"/>
          <w:sz w:val="32"/>
          <w:szCs w:val="32"/>
          <w:lang w:val="en-US" w:eastAsia="zh-CN"/>
        </w:rPr>
        <w:t>3446</w:t>
      </w:r>
      <w:r>
        <w:rPr>
          <w:rFonts w:hint="eastAsia" w:ascii="仿宋_GB2312" w:hAnsi="仿宋_GB2312" w:eastAsia="仿宋_GB2312" w:cs="仿宋_GB2312"/>
          <w:spacing w:val="0"/>
          <w:sz w:val="32"/>
          <w:szCs w:val="32"/>
        </w:rPr>
        <w:t>万元，对个人和家庭的补助</w:t>
      </w:r>
      <w:r>
        <w:rPr>
          <w:rFonts w:hint="eastAsia" w:ascii="仿宋_GB2312" w:hAnsi="仿宋_GB2312" w:eastAsia="仿宋_GB2312" w:cs="仿宋_GB2312"/>
          <w:spacing w:val="0"/>
          <w:sz w:val="32"/>
          <w:szCs w:val="32"/>
          <w:lang w:val="en-US" w:eastAsia="zh-CN"/>
        </w:rPr>
        <w:t>300.8</w:t>
      </w:r>
      <w:r>
        <w:rPr>
          <w:rFonts w:hint="eastAsia" w:ascii="仿宋_GB2312" w:hAnsi="仿宋_GB2312" w:eastAsia="仿宋_GB2312" w:cs="仿宋_GB2312"/>
          <w:spacing w:val="0"/>
          <w:sz w:val="32"/>
          <w:szCs w:val="32"/>
        </w:rPr>
        <w:t>万元，商品和服务支出</w:t>
      </w:r>
      <w:r>
        <w:rPr>
          <w:rFonts w:hint="eastAsia" w:ascii="仿宋_GB2312" w:hAnsi="仿宋_GB2312" w:eastAsia="仿宋_GB2312" w:cs="仿宋_GB2312"/>
          <w:spacing w:val="0"/>
          <w:sz w:val="32"/>
          <w:szCs w:val="32"/>
          <w:lang w:val="en-US" w:eastAsia="zh-CN"/>
        </w:rPr>
        <w:t>505.86</w:t>
      </w:r>
      <w:r>
        <w:rPr>
          <w:rFonts w:hint="eastAsia" w:ascii="仿宋_GB2312" w:hAnsi="仿宋_GB2312" w:eastAsia="仿宋_GB2312" w:cs="仿宋_GB2312"/>
          <w:spacing w:val="0"/>
          <w:sz w:val="32"/>
          <w:szCs w:val="32"/>
        </w:rPr>
        <w:t>万元；项目支出</w:t>
      </w:r>
      <w:r>
        <w:rPr>
          <w:rFonts w:hint="eastAsia" w:ascii="仿宋_GB2312" w:hAnsi="仿宋_GB2312" w:eastAsia="仿宋_GB2312" w:cs="仿宋_GB2312"/>
          <w:spacing w:val="0"/>
          <w:sz w:val="32"/>
          <w:szCs w:val="32"/>
          <w:lang w:val="en-US" w:eastAsia="zh-CN"/>
        </w:rPr>
        <w:t>1321.15</w:t>
      </w:r>
      <w:r>
        <w:rPr>
          <w:rFonts w:hint="eastAsia" w:ascii="仿宋_GB2312" w:hAnsi="仿宋_GB2312" w:eastAsia="仿宋_GB2312" w:cs="仿宋_GB2312"/>
          <w:spacing w:val="0"/>
          <w:sz w:val="32"/>
          <w:szCs w:val="32"/>
        </w:rPr>
        <w:t>万元。</w:t>
      </w:r>
    </w:p>
    <w:p>
      <w:pPr>
        <w:keepNext w:val="0"/>
        <w:keepLines w:val="0"/>
        <w:pageBreakBefore w:val="0"/>
        <w:widowControl w:val="0"/>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二</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基本支出情况</w:t>
      </w:r>
    </w:p>
    <w:p>
      <w:pPr>
        <w:keepNext w:val="0"/>
        <w:keepLines w:val="0"/>
        <w:pageBreakBefore w:val="0"/>
        <w:widowControl w:val="0"/>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我院202</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rPr>
        <w:t>年基本支出总额</w:t>
      </w:r>
      <w:r>
        <w:rPr>
          <w:rFonts w:hint="eastAsia" w:ascii="仿宋_GB2312" w:hAnsi="仿宋_GB2312" w:eastAsia="仿宋_GB2312" w:cs="仿宋_GB2312"/>
          <w:spacing w:val="0"/>
          <w:sz w:val="32"/>
          <w:szCs w:val="32"/>
          <w:lang w:eastAsia="zh-CN"/>
        </w:rPr>
        <w:t>其中：基本支出</w:t>
      </w:r>
      <w:r>
        <w:rPr>
          <w:rFonts w:hint="eastAsia" w:ascii="仿宋_GB2312" w:hAnsi="仿宋_GB2312" w:eastAsia="仿宋_GB2312" w:cs="仿宋_GB2312"/>
          <w:spacing w:val="0"/>
          <w:sz w:val="32"/>
          <w:szCs w:val="32"/>
          <w:lang w:val="en-US" w:eastAsia="zh-CN"/>
        </w:rPr>
        <w:t>4021.90</w:t>
      </w:r>
      <w:r>
        <w:rPr>
          <w:rFonts w:hint="eastAsia" w:ascii="仿宋_GB2312" w:hAnsi="仿宋_GB2312" w:eastAsia="仿宋_GB2312" w:cs="仿宋_GB2312"/>
          <w:spacing w:val="0"/>
          <w:sz w:val="32"/>
          <w:szCs w:val="32"/>
          <w:lang w:eastAsia="zh-CN"/>
        </w:rPr>
        <w:t>万元，由人员经费</w:t>
      </w:r>
      <w:r>
        <w:rPr>
          <w:rFonts w:hint="eastAsia" w:ascii="仿宋_GB2312" w:hAnsi="仿宋_GB2312" w:eastAsia="仿宋_GB2312" w:cs="仿宋_GB2312"/>
          <w:spacing w:val="0"/>
          <w:sz w:val="32"/>
          <w:szCs w:val="32"/>
          <w:lang w:val="en-US" w:eastAsia="zh-CN"/>
        </w:rPr>
        <w:t>3451.93</w:t>
      </w:r>
      <w:r>
        <w:rPr>
          <w:rFonts w:hint="eastAsia" w:ascii="仿宋_GB2312" w:hAnsi="仿宋_GB2312" w:eastAsia="仿宋_GB2312" w:cs="仿宋_GB2312"/>
          <w:spacing w:val="0"/>
          <w:sz w:val="32"/>
          <w:szCs w:val="32"/>
          <w:lang w:eastAsia="zh-CN"/>
        </w:rPr>
        <w:t>万元和日常公用经费</w:t>
      </w:r>
      <w:r>
        <w:rPr>
          <w:rFonts w:hint="eastAsia" w:ascii="仿宋_GB2312" w:hAnsi="仿宋_GB2312" w:eastAsia="仿宋_GB2312" w:cs="仿宋_GB2312"/>
          <w:spacing w:val="0"/>
          <w:sz w:val="32"/>
          <w:szCs w:val="32"/>
          <w:lang w:val="en-US" w:eastAsia="zh-CN"/>
        </w:rPr>
        <w:t>569.97</w:t>
      </w:r>
      <w:r>
        <w:rPr>
          <w:rFonts w:hint="eastAsia" w:ascii="仿宋_GB2312" w:hAnsi="仿宋_GB2312" w:eastAsia="仿宋_GB2312" w:cs="仿宋_GB2312"/>
          <w:spacing w:val="0"/>
          <w:sz w:val="32"/>
          <w:szCs w:val="32"/>
          <w:lang w:eastAsia="zh-CN"/>
        </w:rPr>
        <w:t>万元组成；</w:t>
      </w:r>
      <w:r>
        <w:rPr>
          <w:rFonts w:hint="eastAsia" w:ascii="仿宋_GB2312" w:hAnsi="仿宋_GB2312" w:eastAsia="仿宋_GB2312" w:cs="仿宋_GB2312"/>
          <w:spacing w:val="0"/>
          <w:sz w:val="32"/>
          <w:szCs w:val="32"/>
        </w:rPr>
        <w:t>在基本支出中，我院按照厉行节约的工作要求，严控“三公经费”的支出，年初“三公经费”预算23万元，202</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rPr>
        <w:t>年支出2</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rPr>
        <w:t>万元，经费都在年初预算内执行</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并且保持稳定下降</w:t>
      </w:r>
      <w:r>
        <w:rPr>
          <w:rFonts w:hint="eastAsia" w:ascii="仿宋_GB2312" w:hAnsi="仿宋_GB2312" w:eastAsia="仿宋_GB2312" w:cs="仿宋_GB2312"/>
          <w:spacing w:val="0"/>
          <w:sz w:val="32"/>
          <w:szCs w:val="32"/>
        </w:rPr>
        <w:t>。</w:t>
      </w:r>
    </w:p>
    <w:p>
      <w:pPr>
        <w:keepNext w:val="0"/>
        <w:keepLines w:val="0"/>
        <w:pageBreakBefore w:val="0"/>
        <w:widowControl w:val="0"/>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三</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项目支出情况</w:t>
      </w:r>
    </w:p>
    <w:p>
      <w:pPr>
        <w:keepNext w:val="0"/>
        <w:keepLines w:val="0"/>
        <w:pageBreakBefore w:val="0"/>
        <w:widowControl w:val="0"/>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我院202</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rPr>
        <w:t>年项目支出总额</w:t>
      </w:r>
      <w:r>
        <w:rPr>
          <w:rFonts w:hint="eastAsia" w:ascii="仿宋_GB2312" w:hAnsi="仿宋_GB2312" w:eastAsia="仿宋_GB2312" w:cs="仿宋_GB2312"/>
          <w:spacing w:val="0"/>
          <w:sz w:val="32"/>
          <w:szCs w:val="32"/>
          <w:lang w:val="en-US" w:eastAsia="zh-CN"/>
        </w:rPr>
        <w:t>1332.21</w:t>
      </w:r>
      <w:r>
        <w:rPr>
          <w:rFonts w:hint="eastAsia" w:ascii="仿宋_GB2312" w:hAnsi="仿宋_GB2312" w:eastAsia="仿宋_GB2312" w:cs="仿宋_GB2312"/>
          <w:spacing w:val="0"/>
          <w:sz w:val="32"/>
          <w:szCs w:val="32"/>
        </w:rPr>
        <w:t>万元，其中：按项目管理的商品和服务支出</w:t>
      </w:r>
      <w:r>
        <w:rPr>
          <w:rFonts w:hint="eastAsia" w:ascii="仿宋_GB2312" w:hAnsi="仿宋_GB2312" w:eastAsia="仿宋_GB2312" w:cs="仿宋_GB2312"/>
          <w:spacing w:val="0"/>
          <w:sz w:val="32"/>
          <w:szCs w:val="32"/>
          <w:lang w:val="en-US" w:eastAsia="zh-CN"/>
        </w:rPr>
        <w:t>835.99</w:t>
      </w:r>
      <w:r>
        <w:rPr>
          <w:rFonts w:hint="eastAsia" w:ascii="仿宋_GB2312" w:hAnsi="仿宋_GB2312" w:eastAsia="仿宋_GB2312" w:cs="仿宋_GB2312"/>
          <w:spacing w:val="0"/>
          <w:sz w:val="32"/>
          <w:szCs w:val="32"/>
        </w:rPr>
        <w:t>万元，资本性支出</w:t>
      </w:r>
      <w:r>
        <w:rPr>
          <w:rFonts w:hint="eastAsia" w:ascii="仿宋_GB2312" w:hAnsi="仿宋_GB2312" w:eastAsia="仿宋_GB2312" w:cs="仿宋_GB2312"/>
          <w:spacing w:val="0"/>
          <w:sz w:val="32"/>
          <w:szCs w:val="32"/>
          <w:lang w:val="en-US" w:eastAsia="zh-CN"/>
        </w:rPr>
        <w:t>77.61</w:t>
      </w:r>
      <w:r>
        <w:rPr>
          <w:rFonts w:hint="eastAsia" w:ascii="仿宋_GB2312" w:hAnsi="仿宋_GB2312" w:eastAsia="仿宋_GB2312" w:cs="仿宋_GB2312"/>
          <w:spacing w:val="0"/>
          <w:sz w:val="32"/>
          <w:szCs w:val="32"/>
        </w:rPr>
        <w:t>万元。按项目管理的商品和服务支出主要是我院预算安排中的科研经费支出，资本性支出主要是</w:t>
      </w:r>
      <w:r>
        <w:rPr>
          <w:rFonts w:hint="eastAsia" w:ascii="仿宋_GB2312" w:hAnsi="仿宋_GB2312" w:eastAsia="仿宋_GB2312" w:cs="仿宋_GB2312"/>
          <w:spacing w:val="0"/>
          <w:sz w:val="32"/>
          <w:szCs w:val="32"/>
          <w:lang w:val="en-US" w:eastAsia="zh-CN"/>
        </w:rPr>
        <w:t>我院办公设备购置、大院环境改造支出等</w:t>
      </w:r>
      <w:r>
        <w:rPr>
          <w:rFonts w:hint="eastAsia" w:ascii="仿宋_GB2312" w:hAnsi="仿宋_GB2312" w:eastAsia="仿宋_GB2312" w:cs="仿宋_GB2312"/>
          <w:spacing w:val="0"/>
          <w:sz w:val="32"/>
          <w:szCs w:val="32"/>
        </w:rPr>
        <w:t>。</w:t>
      </w:r>
    </w:p>
    <w:p>
      <w:pPr>
        <w:keepNext w:val="0"/>
        <w:keepLines w:val="0"/>
        <w:pageBreakBefore w:val="0"/>
        <w:widowControl w:val="0"/>
        <w:numPr>
          <w:ilvl w:val="0"/>
          <w:numId w:val="0"/>
        </w:numPr>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三、政府性基金预算支出情况</w:t>
      </w:r>
    </w:p>
    <w:p>
      <w:pPr>
        <w:keepNext w:val="0"/>
        <w:keepLines w:val="0"/>
        <w:pageBreakBefore w:val="0"/>
        <w:widowControl w:val="0"/>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我院无政府性基金</w:t>
      </w:r>
      <w:r>
        <w:rPr>
          <w:rFonts w:hint="eastAsia" w:ascii="仿宋_GB2312" w:hAnsi="仿宋_GB2312" w:eastAsia="仿宋_GB2312" w:cs="仿宋_GB2312"/>
          <w:spacing w:val="0"/>
          <w:sz w:val="32"/>
          <w:szCs w:val="32"/>
          <w:lang w:val="en-US" w:eastAsia="zh-CN"/>
        </w:rPr>
        <w:t>收入和</w:t>
      </w:r>
      <w:r>
        <w:rPr>
          <w:rFonts w:hint="eastAsia" w:ascii="仿宋_GB2312" w:hAnsi="仿宋_GB2312" w:eastAsia="仿宋_GB2312" w:cs="仿宋_GB2312"/>
          <w:spacing w:val="0"/>
          <w:sz w:val="32"/>
          <w:szCs w:val="32"/>
          <w:lang w:eastAsia="zh-CN"/>
        </w:rPr>
        <w:t>支出</w:t>
      </w:r>
    </w:p>
    <w:p>
      <w:pPr>
        <w:keepNext w:val="0"/>
        <w:keepLines w:val="0"/>
        <w:pageBreakBefore w:val="0"/>
        <w:widowControl w:val="0"/>
        <w:numPr>
          <w:ilvl w:val="0"/>
          <w:numId w:val="0"/>
        </w:numPr>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四、国有资本经营预算支出情况</w:t>
      </w:r>
    </w:p>
    <w:p>
      <w:pPr>
        <w:keepNext w:val="0"/>
        <w:keepLines w:val="0"/>
        <w:pageBreakBefore w:val="0"/>
        <w:widowControl w:val="0"/>
        <w:numPr>
          <w:ilvl w:val="0"/>
          <w:numId w:val="0"/>
        </w:numPr>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我院无国有资本经营预算收入和支出</w:t>
      </w:r>
    </w:p>
    <w:p>
      <w:pPr>
        <w:keepNext w:val="0"/>
        <w:keepLines w:val="0"/>
        <w:pageBreakBefore w:val="0"/>
        <w:widowControl w:val="0"/>
        <w:numPr>
          <w:ilvl w:val="0"/>
          <w:numId w:val="0"/>
        </w:numPr>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五、社会保险基金预算支出情况</w:t>
      </w:r>
    </w:p>
    <w:p>
      <w:pPr>
        <w:keepNext w:val="0"/>
        <w:keepLines w:val="0"/>
        <w:pageBreakBefore w:val="0"/>
        <w:widowControl w:val="0"/>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我院无社会保险基金预算收入和支出</w:t>
      </w:r>
    </w:p>
    <w:p>
      <w:pPr>
        <w:keepNext w:val="0"/>
        <w:keepLines w:val="0"/>
        <w:pageBreakBefore w:val="0"/>
        <w:widowControl w:val="0"/>
        <w:numPr>
          <w:ilvl w:val="0"/>
          <w:numId w:val="0"/>
        </w:numPr>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六、部门整体支出绩效情况</w:t>
      </w:r>
    </w:p>
    <w:p>
      <w:pPr>
        <w:keepNext w:val="0"/>
        <w:keepLines w:val="0"/>
        <w:pageBreakBefore w:val="0"/>
        <w:widowControl w:val="0"/>
        <w:numPr>
          <w:ilvl w:val="0"/>
          <w:numId w:val="1"/>
        </w:numPr>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整体支出绩效自评总体结果</w:t>
      </w:r>
    </w:p>
    <w:p>
      <w:pPr>
        <w:keepNext w:val="0"/>
        <w:keepLines w:val="0"/>
        <w:pageBreakBefore w:val="0"/>
        <w:widowControl w:val="0"/>
        <w:numPr>
          <w:ilvl w:val="0"/>
          <w:numId w:val="0"/>
        </w:numPr>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2021年，我院围绕年初设定的绩效目标，积极开展各项工作展开，较好的完成了年度各项工作指标，在理论研究、智库建设、后勤服务、党建等方面取得了较好的效果，部门整体支出绩效自评分96分。</w:t>
      </w:r>
    </w:p>
    <w:p>
      <w:pPr>
        <w:keepNext w:val="0"/>
        <w:keepLines w:val="0"/>
        <w:pageBreakBefore w:val="0"/>
        <w:widowControl w:val="0"/>
        <w:numPr>
          <w:ilvl w:val="0"/>
          <w:numId w:val="0"/>
        </w:numPr>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（二）整体支出履职效能和社会效益等自评情况</w:t>
      </w:r>
    </w:p>
    <w:p>
      <w:pPr>
        <w:keepNext w:val="0"/>
        <w:keepLines w:val="0"/>
        <w:pageBreakBefore w:val="0"/>
        <w:widowControl w:val="0"/>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2021年是党和国家历史上具有里程碑意义的一年。这一年，在省委省政府坚强领导下，湖南省社会科学院坚持以习近平新时代中国特色社会主义思想为指导，按照院“十四</w:t>
      </w:r>
      <w:r>
        <w:rPr>
          <w:rFonts w:hint="eastAsia" w:ascii="仿宋_GB2312" w:hAnsi="仿宋_GB2312" w:eastAsia="仿宋_GB2312" w:cs="仿宋_GB2312"/>
          <w:spacing w:val="0"/>
          <w:sz w:val="32"/>
          <w:szCs w:val="32"/>
          <w:lang w:eastAsia="zh-CN"/>
        </w:rPr>
        <w:t>五”</w:t>
      </w:r>
      <w:r>
        <w:rPr>
          <w:rFonts w:hint="eastAsia" w:ascii="仿宋_GB2312" w:hAnsi="仿宋_GB2312" w:eastAsia="仿宋_GB2312" w:cs="仿宋_GB2312"/>
          <w:spacing w:val="0"/>
          <w:sz w:val="32"/>
          <w:szCs w:val="32"/>
        </w:rPr>
        <w:t>既定战略思路，以推动建设国家高端智库为目标，努力打造湖南哲学社会科学思想高地、学术高地、智库高地、人才高地，各项工作取得新进展。</w:t>
      </w:r>
    </w:p>
    <w:p>
      <w:pPr>
        <w:keepNext w:val="0"/>
        <w:keepLines w:val="0"/>
        <w:pageBreakBefore w:val="0"/>
        <w:widowControl w:val="0"/>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rPr>
        <w:t>．学习贯彻新思想扎实有效</w:t>
      </w:r>
    </w:p>
    <w:p>
      <w:pPr>
        <w:keepNext w:val="0"/>
        <w:keepLines w:val="0"/>
        <w:pageBreakBefore w:val="0"/>
        <w:widowControl w:val="0"/>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年来，我们坚持把学习研究阐释习近平新时代中国特色社会主义思想作为首要政治任务，持续发力、久久为功，不断筑牢思想高地。一是强化理论学习。建立党组“第一议题”制度，及时跟进学习习近平总书记最新讲话重要指示批示精神，铸牢了忠诚。完善中心组学习制度，修订《党组理论学习中心组学习制度》，制定《党组理论学习中心组专题学习重点内容安排》，改进了学习方式，增强了学习效果。推进党支部实地研学，组织支部开展新春走基层、红色教育基地实地考察等活动，传承红色基因，强化了党性修养，提升了支部战斗力。二是做强宣传宣讲。办好学习习近平新时代中国特色社会主义思想专题专栏，积极开展党史学习教育</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党的十九届六中全会精神和省第十二次党代会精神宣讲。按照省委统一部署，我院3位省委宣讲团成员积极履职，圆满完成宣讲任务。《求索》《毛泽东研究》开办“庆祝中国共产党成立100周年”专栏，出刊7期、刊文24篇。三是加强研究阐释。推出《习近平总书记考察湖南重要讲话精神学习辅导读本》，省委党史学习教育领导小组办公室专门发文，作为全省党史学习教育重要辅助读物印发，发行达33000册</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强化研究性学习，在中央“三报一刊”</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省“一报一刊”刊发《谋划碳达峰碳中和要有大格局大思路》《践行初心 担当使命》等50余篇研究阐释文章。</w:t>
      </w:r>
    </w:p>
    <w:p>
      <w:pPr>
        <w:keepNext w:val="0"/>
        <w:keepLines w:val="0"/>
        <w:pageBreakBefore w:val="0"/>
        <w:widowControl w:val="0"/>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2．党史学习教育有声有色</w:t>
      </w:r>
    </w:p>
    <w:p>
      <w:pPr>
        <w:keepNext w:val="0"/>
        <w:keepLines w:val="0"/>
        <w:pageBreakBefore w:val="0"/>
        <w:widowControl w:val="0"/>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年来，我们对标对表党史学习教育总要求，突出优长特色，高标准严要求推动党史学习教育出色开展。一是开展研究性专题学习。认真开展了“学史明理、学史增信、学史崇德、学史力行”四个专题学习，坚持以学习促进研究、以研究深化学习，推出《党史学习教育要学出四重“硬核”效果》《在党史学习中增智慧强党性聚民心》《在党史学习中应解决好“姓”党须“信”党问题》等10余篇理论文章。二是开展学术性专题研讨。举办“中国共产党的一百年与中国化马克思主义文论的发展历程”“中国共产党百年红色文化研究”“第八届毛泽东思想论坛”“习近平总书记给《文史哲》编辑部的回信精神座谈会”等学术研讨会10余场。参与省庆祝中国共产党成立100周年理论研讨会，选送论文11篇</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入选7篇，在全省选送单位中位居第一。三是开展欢庆性专题活动。围绕庆祝中国共产党成立100周年，组织开展“学党史颂党恩”演讲比赛、“不忘初心颂党恩”文艺汇演等活动，注重做好“光荣在党50年”荣誉勋章发放、“七一”表彰庆祝大会和走访慰问等工作，多方式丰富创新党史学习教育。四是开展惠民性实践活动。制定《院“我为群众办实事</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实践活动工作方案》，围绕新型智库建设、保障民生需求、疫情防控、文明创建、平安创建、乡村振兴等实事，共列出问题清单32项，完成老旧小区电梯安装、办公楼地下室提质改造、大院环境美化，完成新冠疫苗接种320人，接种率达90.16%，切实推动党史学习教育落地见效。</w:t>
      </w:r>
    </w:p>
    <w:p>
      <w:pPr>
        <w:keepNext w:val="0"/>
        <w:keepLines w:val="0"/>
        <w:pageBreakBefore w:val="0"/>
        <w:widowControl w:val="0"/>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rPr>
        <w:t>．学术理论研究有量有质</w:t>
      </w:r>
    </w:p>
    <w:p>
      <w:pPr>
        <w:keepNext w:val="0"/>
        <w:keepLines w:val="0"/>
        <w:pageBreakBefore w:val="0"/>
        <w:widowControl w:val="0"/>
        <w:kinsoku w:val="0"/>
        <w:wordWrap/>
        <w:overflowPunct/>
        <w:topLinePunct w:val="0"/>
        <w:autoSpaceDE w:val="0"/>
        <w:autoSpaceDN w:val="0"/>
        <w:bidi w:val="0"/>
        <w:adjustRightInd/>
        <w:snapToGrid w:val="0"/>
        <w:spacing w:line="560" w:lineRule="exact"/>
        <w:ind w:left="0" w:leftChars="0" w:right="0" w:rightChars="0" w:firstLine="636" w:firstLineChars="200"/>
        <w:jc w:val="both"/>
        <w:textAlignment w:val="baseline"/>
        <w:outlineLvl w:val="9"/>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一年来，我们牢固树立精品意识，努力营造互学互鉴、积极向上的良好学术生态，不断推动学术研究迈上新台阶。一是立项高级别项目。全年立项国家社科基金项目2项、省社科基金及省科技计划重大项目6项、省社科基金重点及一般项目17项、省科技计划项目5项。二是出版高水平著作。出版</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现代化新湖南的宏伟擘画</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“三高四新”战略研究</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《湘西民族文库》《“战士”的使命与情怀——三湘</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抗疫</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典型事例评点》《社会企业发展理论与实践报告》《湖南</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三湘四水</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流域文化丛书》等著作27部。三是发表高档次论文。全年发表四类以上学术论文50篇，其中在《马克思主义研究》《北京大学学报（社会科学版）》《清华大学学报</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社会科学版</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》《图书情报工作》等权威期刊发表高档次学术论文《新时代跳出历史周期率的伟大探索与成功道路》</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中国共产党为中华民族谋复兴的伟大历程和经验启示》《在文明互鉴中构建中国特色哲学社会科学》《&lt;剪灯新话&gt;的版本发现及其意义》等7篇，创近年新高。特别是，今年在《马克思主义研究》发表论文表现尤佳。四是获得高层次反馈</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获《新华文摘》《中国社会科学文摘》《高等学校文科学术文摘》等转载、复印15篇次，其中《中国社会科学文摘》详细摘要2篇次。</w:t>
      </w:r>
    </w:p>
    <w:p>
      <w:pPr>
        <w:keepNext w:val="0"/>
        <w:keepLines w:val="0"/>
        <w:pageBreakBefore w:val="0"/>
        <w:widowControl w:val="0"/>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rPr>
        <w:t>．新型智库建设有力有效</w:t>
      </w:r>
    </w:p>
    <w:p>
      <w:pPr>
        <w:keepNext w:val="0"/>
        <w:keepLines w:val="0"/>
        <w:pageBreakBefore w:val="0"/>
        <w:widowControl w:val="0"/>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年来，我们紧紧围绕中心、服务大局，发挥核心智库作用，为湖南高质量发展提供智力支持。一是智库品牌初现规模。坚持深入调查研究、把论文写在大地上，集中推出《湖南农业现代化发展报告》《湖南县域经济发展报告》《湖南开放发展报告》《湖南社会治理与公共服务发展报告》等8大研究报告，《毛泽东研究报告》也在紧锣密鼓出版之中</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这套丛书获得了省委宣传部的肯定通报。二是服务决策高质高效。全年获得各级领导批示肯定40项、较上年增加10项，进入省委省政府决策6项。聚焦省委重大决策，积极向省第十二次党代会建言献策，参加专家学者和基层代表座谈会</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组织院内专家提交建言报告43篇，其中建言献策专报采用8篇，报送数量和上稿量均位列全省第一。聚焦“三高四新”战略定位和使命任务加强研究，推出《塑造优势引才聚才 为实施“三高四新”战略提供坚实人才支撑》《增强落实“三高四新”战略的紧迫感、方位感与使命感》等高质量文章10余篇。三是对接合作开创新篇。加强与省商务厅、省科技厅、省乡村振兴局、省农商行等部门交流合作，推进协同研究和创新。与长沙市、常德市等地合作，开展行政区划调整评估论证研究，得到了省委省政府和民政部领导的高度肯定。成立省政协社科界别委员工作室，组织界别委员凝心聚智，服务三湘，并获评优秀工作室。协助多家智库机构成立、运营，扩大了我们的“朋友圈”。四是指数排行初具影响。湖南县域经济高质量发展“双进”排行榜在红网成为“网红”，连续推出的“长江指数”“湘江指数”影响越来越大。</w:t>
      </w:r>
    </w:p>
    <w:p>
      <w:pPr>
        <w:keepNext w:val="0"/>
        <w:keepLines w:val="0"/>
        <w:pageBreakBefore w:val="0"/>
        <w:widowControl w:val="0"/>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rPr>
        <w:t>．人才队伍建设实现突破</w:t>
      </w:r>
    </w:p>
    <w:p>
      <w:pPr>
        <w:keepNext w:val="0"/>
        <w:keepLines w:val="0"/>
        <w:pageBreakBefore w:val="0"/>
        <w:widowControl w:val="0"/>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年来，我们贯彻落实中央人才工作会议精神，切实引进、培养和用好人才。一是加强人才外引。大规模引进高层次人才，开启全天候人才招聘模式，从北京大学、中国社会科学院、中国人民大学等高校、科研院所引进13名优秀博士</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二是重视人才内培。制定《院科研人员内部聘任管理办法》</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推行内聘制度改革，在全院形成尊重知识、尊重科研、尊重人才的浓厚氛围，4人获聘特聘研究员、5人获聘特聘副研究员。三是注重人才激活。完成全员事业化改革，解决多年来困扰我院的“混岗混编”问题。首次设定社科系列职称评审院外人员参评基本条件，提升社科系列职称评审质量。制定《院干部职工教育培训管理办法》，促进知识更新和能力提升。不断强化行政科研科辅三支人才队伍建设，营造干事创业的良好氛围。四是强化人才推优。推荐黄海、谢谨岚等参评相关国家人才计划与省级荣誉称号评选，其中黄海成功入选国家“万人计划”哲学社会科学领军人才、中宣部文化名家暨“四个一批”人才，谢谨岚荣获省政府特殊津贴专家。卓今被推选为中国作家协会第十次全国代表大会代表，赴人民大会堂参加了代表大会。</w:t>
      </w:r>
    </w:p>
    <w:p>
      <w:pPr>
        <w:keepNext w:val="0"/>
        <w:keepLines w:val="0"/>
        <w:pageBreakBefore w:val="0"/>
        <w:widowControl w:val="0"/>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6</w:t>
      </w:r>
      <w:r>
        <w:rPr>
          <w:rFonts w:hint="eastAsia" w:ascii="仿宋_GB2312" w:hAnsi="仿宋_GB2312" w:eastAsia="仿宋_GB2312" w:cs="仿宋_GB2312"/>
          <w:spacing w:val="0"/>
          <w:sz w:val="32"/>
          <w:szCs w:val="32"/>
        </w:rPr>
        <w:t>．平台载体建设稳中有升</w:t>
      </w:r>
    </w:p>
    <w:p>
      <w:pPr>
        <w:keepNext w:val="0"/>
        <w:keepLines w:val="0"/>
        <w:pageBreakBefore w:val="0"/>
        <w:widowControl w:val="0"/>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一年来，我们加强科研平台建设，注重搭平台、造舞台</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铸就筑好高品质高品位高颜值平台。一方面，期刊建设有成绩。《求索》连获中宣部“国家社科基金资助期刊”，连选南京大学“CSSCI来源期刊”，重新恢复北京大学“全国中文核心期刊”，影响因子持续位居全省社科学术期刊第1，在《新华文摘》、人大复印资料等转载量持续稳居全省第1</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在2021年全国同类626家综合性社科学术期刊中，影响力CI值排名Q1区、第19位。《毛泽东研究》获第五届湖湘优秀出版物奖，正式入选《全国中文核心期刊要目总览》，办刊进入新境界、迈上新台阶。《系统工程》不断加强编辑队伍、文章审稿等工作，注重练好内功，影响与日俱增。另一方面</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内刊建设有业绩。通过优化选题，提升内参办刊质量，内刊影响日渐扩大。《决策参考·湖南智库成果专报》出刊82期</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49期获省领导批示67次，批示率近60%。《湖南省情要报》刊出28期，25期获得省部级领导肯定性批示47件，批示率达到89%，批示件期比达到172%。湖南智库网、湖湘智库微信公众号浏览次数、独立访客数较去年均有大幅增长，湖南社会科学报道平稳运行、运转有序。</w:t>
      </w:r>
    </w:p>
    <w:p>
      <w:pPr>
        <w:keepNext w:val="0"/>
        <w:keepLines w:val="0"/>
        <w:pageBreakBefore w:val="0"/>
        <w:widowControl w:val="0"/>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7</w:t>
      </w:r>
      <w:r>
        <w:rPr>
          <w:rFonts w:hint="eastAsia" w:ascii="仿宋_GB2312" w:hAnsi="仿宋_GB2312" w:eastAsia="仿宋_GB2312" w:cs="仿宋_GB2312"/>
          <w:spacing w:val="0"/>
          <w:sz w:val="32"/>
          <w:szCs w:val="32"/>
        </w:rPr>
        <w:t>．服务保障能力大幅提升</w:t>
      </w:r>
    </w:p>
    <w:p>
      <w:pPr>
        <w:keepNext w:val="0"/>
        <w:keepLines w:val="0"/>
        <w:pageBreakBefore w:val="0"/>
        <w:widowControl w:val="0"/>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年来，我们抓重点、重点抓，坚持服务科研、服务专家，脱贫攻坚、后勤保障、科研辅助能力得到全面提升。一是脱贫攻坚有成绩，成功推进帮扶村如期“摘帽”，院驻村帮扶工作队荣获“湖南省脱贫攻坚先进集体”。二是平安创建有成果，我院被省委省政府考评为2021年度省平安建设优秀单位。三是文明创建有方向，成功启动省文明单位创建。四是财务运行有肯定，我院被省财政厅评为2021年度省直部门决算工作先进单位。五是图资服务有看点，图书网络服务开启新模式，古籍保护再次获得党委政府关注和资助，图书馆维修工程善后工作稳步推进。六是工会活动有效果，温馨工会、活力工会打造得力，职工幸福感获得感稳步提升。七是老干工作有点赞，老同志一如既往关心支持院里发展，群策群力、献计献策，贡献智慧、发挥余热，时常肯定党组和老干办工作。八是群团工作有亮点，青年工作、妇女工作等稳步推进、服务给力。九是乡村振兴有起色，接续推进古仙界村帮扶，持续推进脱贫攻坚与乡村振兴有效衔接。</w:t>
      </w:r>
    </w:p>
    <w:p>
      <w:pPr>
        <w:keepNext w:val="0"/>
        <w:keepLines w:val="0"/>
        <w:pageBreakBefore w:val="0"/>
        <w:widowControl w:val="0"/>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8</w:t>
      </w:r>
      <w:r>
        <w:rPr>
          <w:rFonts w:hint="eastAsia" w:ascii="仿宋_GB2312" w:hAnsi="仿宋_GB2312" w:eastAsia="仿宋_GB2312" w:cs="仿宋_GB2312"/>
          <w:spacing w:val="0"/>
          <w:sz w:val="32"/>
          <w:szCs w:val="32"/>
        </w:rPr>
        <w:t>．全面从严治党始终在肩</w:t>
      </w:r>
    </w:p>
    <w:p>
      <w:pPr>
        <w:keepNext w:val="0"/>
        <w:keepLines w:val="0"/>
        <w:pageBreakBefore w:val="0"/>
        <w:widowControl w:val="0"/>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年来，我们坚持以习近平总书记关于机关党建相关重要论述为指导，推动全面从严治党主体责任落实落地。一是加强政治建设。在加强院领导班子政治建设基础上，深入开展处级干部政治建设考核，筑牢忠诚。二是加强廉洁建设。严格落实党风廉政建设责任制，严格执行中央八项规定及其实施细则。持之以恒正风肃纪，严肃财经纪律，修订完善院财务管理制度、《湖南省社会科学院横向课题管理办法》。三是全面落实意识形态责任制。修订完善《湖南省社会科学院贯彻落实意识形态工作责任制管理办法》，加强对论文、报告、讲座等意识形态审核把关，对院各类网站、公众号等进行规范管理，严格执行信息发布“三审”制，强化意识形态安全。四是加强支部建设。严格执行“三会一课”制度、创新主题党日活动，“三表率一模范”机关建设、党支部标准化和“五化”建设扎实有效，成功举办党支部书记和党务工作者培训班。</w:t>
      </w:r>
    </w:p>
    <w:p>
      <w:pPr>
        <w:keepNext w:val="0"/>
        <w:keepLines w:val="0"/>
        <w:pageBreakBefore w:val="0"/>
        <w:widowControl w:val="0"/>
        <w:numPr>
          <w:ilvl w:val="0"/>
          <w:numId w:val="0"/>
        </w:numPr>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七、存在的问题及原因分析</w:t>
      </w:r>
    </w:p>
    <w:p>
      <w:pPr>
        <w:keepNext w:val="0"/>
        <w:keepLines w:val="0"/>
        <w:pageBreakBefore w:val="0"/>
        <w:widowControl w:val="0"/>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我院在全年支出中存在三个问题，要引起高度重视。</w:t>
      </w:r>
    </w:p>
    <w:p>
      <w:pPr>
        <w:keepNext w:val="0"/>
        <w:keepLines w:val="0"/>
        <w:pageBreakBefore w:val="0"/>
        <w:widowControl w:val="0"/>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pacing w:val="0"/>
          <w:sz w:val="32"/>
          <w:szCs w:val="32"/>
          <w14:textOutline w14:w="6172" w14:cap="flat" w14:cmpd="sng">
            <w14:solidFill>
              <w14:srgbClr w14:val="000000"/>
            </w14:solidFill>
            <w14:prstDash w14:val="solid"/>
            <w14:miter w14:val="0"/>
          </w14:textOutline>
        </w:rPr>
      </w:pPr>
      <w:r>
        <w:rPr>
          <w:rFonts w:hint="eastAsia" w:ascii="仿宋_GB2312" w:hAnsi="仿宋_GB2312" w:eastAsia="仿宋_GB2312" w:cs="仿宋_GB2312"/>
          <w:spacing w:val="0"/>
          <w:sz w:val="32"/>
          <w:szCs w:val="32"/>
          <w:lang w:val="en-US" w:eastAsia="zh-CN"/>
        </w:rPr>
        <w:t>（一）年初预算执行存在精准度不够。近几年，我院按照省财政厅“二上二下”的时间要求，部署院内各经费部门的预算编制工作，要求在经费申报时，必须严格按照年度工作重点和目标进行预算编制，但由于新冠疫情的影响，很多年初预设的工作计划存在无法完成的情况，导致预算执行存在较小的偏差问题。</w:t>
      </w:r>
    </w:p>
    <w:p>
      <w:pPr>
        <w:keepNext w:val="0"/>
        <w:keepLines w:val="0"/>
        <w:pageBreakBefore w:val="0"/>
        <w:widowControl w:val="0"/>
        <w:numPr>
          <w:ilvl w:val="0"/>
          <w:numId w:val="1"/>
        </w:numPr>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上半年整体支出预算执行率偏低。根据我院预算编制的相关情况来看，整体支出进度在上半年低于全年的平均水平，上半年预算执行率偏低，全年用款大部分都集中在第四季度。虽然部分人员经费只能在年底支出，但在其他工作计划、用款计划的制定过程中，也存在上半年整体支出偏低的情况问题。</w:t>
      </w:r>
    </w:p>
    <w:p>
      <w:pPr>
        <w:keepNext w:val="0"/>
        <w:keepLines w:val="0"/>
        <w:pageBreakBefore w:val="0"/>
        <w:widowControl w:val="0"/>
        <w:numPr>
          <w:ilvl w:val="0"/>
          <w:numId w:val="1"/>
        </w:numPr>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个别部门存在绩效目标管理意识不强。在预算的编制过程中，我们要求各经费申请部门，必须按照工作计划及用款额度的具体情况，制定有效的、可供考核的绩效目标，但在具体执行过程中，仍然有个别部门存在绩效目标设定不明确，执行过程中无法有效考核经费使用是否达到目标的问题。</w:t>
      </w:r>
    </w:p>
    <w:p>
      <w:pPr>
        <w:keepNext w:val="0"/>
        <w:keepLines w:val="0"/>
        <w:pageBreakBefore w:val="0"/>
        <w:widowControl w:val="0"/>
        <w:numPr>
          <w:ilvl w:val="0"/>
          <w:numId w:val="0"/>
        </w:numPr>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黑体" w:hAnsi="黑体" w:eastAsia="黑体" w:cs="黑体"/>
          <w:spacing w:val="0"/>
          <w:sz w:val="32"/>
          <w:szCs w:val="32"/>
          <w:lang w:eastAsia="zh-CN"/>
        </w:rPr>
      </w:pPr>
      <w:r>
        <w:rPr>
          <w:rFonts w:hint="eastAsia" w:ascii="黑体" w:hAnsi="黑体" w:eastAsia="黑体" w:cs="黑体"/>
          <w:spacing w:val="0"/>
          <w:sz w:val="32"/>
          <w:szCs w:val="32"/>
          <w:lang w:val="en-US" w:eastAsia="zh-CN"/>
        </w:rPr>
        <w:t>八、</w:t>
      </w:r>
      <w:r>
        <w:rPr>
          <w:rFonts w:hint="eastAsia" w:ascii="黑体" w:hAnsi="黑体" w:eastAsia="黑体" w:cs="黑体"/>
          <w:spacing w:val="0"/>
          <w:sz w:val="32"/>
          <w:szCs w:val="32"/>
          <w:lang w:eastAsia="zh-CN"/>
        </w:rPr>
        <w:t>下一步改进措施</w:t>
      </w:r>
    </w:p>
    <w:p>
      <w:pPr>
        <w:keepNext w:val="0"/>
        <w:keepLines w:val="0"/>
        <w:pageBreakBefore w:val="0"/>
        <w:widowControl w:val="0"/>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进一步加强预算编制的精准性。尽早的开展下一年度工作计划的拟定，根据工作计划做好相关的预算编制及绩效考核目标的设定，并为各经费使用部门提供科学、高效的经费使用建议，执行的预算具有精准性。</w:t>
      </w:r>
    </w:p>
    <w:p>
      <w:pPr>
        <w:keepNext w:val="0"/>
        <w:keepLines w:val="0"/>
        <w:pageBreakBefore w:val="0"/>
        <w:widowControl w:val="0"/>
        <w:numPr>
          <w:ilvl w:val="0"/>
          <w:numId w:val="2"/>
        </w:numPr>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协助各部门制定更加均衡的用款计划。在年中预算的执行过程中，及时跟进各项目的进展情况，督促各项目在运行过程中及时报账，避免造成账务积压，增大年底的支付压力。</w:t>
      </w:r>
    </w:p>
    <w:p>
      <w:pPr>
        <w:keepNext w:val="0"/>
        <w:keepLines w:val="0"/>
        <w:pageBreakBefore w:val="0"/>
        <w:widowControl w:val="0"/>
        <w:numPr>
          <w:ilvl w:val="0"/>
          <w:numId w:val="2"/>
        </w:numPr>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加强部门绩效管理目标的考核。加强并不断完善部门财务绩效目标管理考核，督促各部门在年初做好用款计划的同时，进行事中、事后的问责、问效，力争将绩效考核工作落到实处。</w:t>
      </w:r>
    </w:p>
    <w:p>
      <w:pPr>
        <w:keepNext w:val="0"/>
        <w:keepLines w:val="0"/>
        <w:pageBreakBefore w:val="0"/>
        <w:widowControl w:val="0"/>
        <w:numPr>
          <w:ilvl w:val="0"/>
          <w:numId w:val="0"/>
        </w:numPr>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九、部门整体支出绩效自评结果拟应用和公开情况</w:t>
      </w:r>
    </w:p>
    <w:p>
      <w:pPr>
        <w:keepNext w:val="0"/>
        <w:keepLines w:val="0"/>
        <w:pageBreakBefore w:val="0"/>
        <w:widowControl w:val="0"/>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我院将按照绩效自评工作安排，及时在门户网站上对相关数据和报告向社会公开，接受社会的监督，也将对本次自评工作中发现的部分问题进行分析整改，将问题的解决落实到具体工作中，以此促进部门整体支出绩效自评工作的不断进步。</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sz w:val="32"/>
          <w:szCs w:val="32"/>
        </w:rPr>
      </w:pPr>
    </w:p>
    <w:p>
      <w:pPr>
        <w:spacing w:before="234" w:line="219" w:lineRule="auto"/>
        <w:ind w:firstLine="2039"/>
        <w:rPr>
          <w:rFonts w:ascii="宋体" w:hAnsi="宋体" w:eastAsia="宋体" w:cs="宋体"/>
          <w:sz w:val="29"/>
          <w:szCs w:val="29"/>
        </w:rPr>
      </w:pPr>
      <w:r>
        <w:rPr>
          <w:rFonts w:ascii="宋体" w:hAnsi="宋体" w:eastAsia="宋体" w:cs="宋体"/>
          <w:spacing w:val="-19"/>
          <w:sz w:val="29"/>
          <w:szCs w:val="29"/>
          <w14:textOutline w14:w="5270" w14:cap="flat" w14:cmpd="sng">
            <w14:solidFill>
              <w14:srgbClr w14:val="000000"/>
            </w14:solidFill>
            <w14:prstDash w14:val="solid"/>
            <w14:miter w14:val="0"/>
          </w14:textOutline>
        </w:rPr>
        <w:t>部</w:t>
      </w:r>
      <w:r>
        <w:rPr>
          <w:rFonts w:ascii="宋体" w:hAnsi="宋体" w:eastAsia="宋体" w:cs="宋体"/>
          <w:spacing w:val="-24"/>
          <w:sz w:val="29"/>
          <w:szCs w:val="29"/>
        </w:rPr>
        <w:t xml:space="preserve"> </w:t>
      </w:r>
      <w:r>
        <w:rPr>
          <w:rFonts w:ascii="宋体" w:hAnsi="宋体" w:eastAsia="宋体" w:cs="宋体"/>
          <w:spacing w:val="-19"/>
          <w:sz w:val="29"/>
          <w:szCs w:val="29"/>
          <w14:textOutline w14:w="5270" w14:cap="flat" w14:cmpd="sng">
            <w14:solidFill>
              <w14:srgbClr w14:val="000000"/>
            </w14:solidFill>
            <w14:prstDash w14:val="solid"/>
            <w14:miter w14:val="0"/>
          </w14:textOutline>
        </w:rPr>
        <w:t>门</w:t>
      </w:r>
      <w:r>
        <w:rPr>
          <w:rFonts w:ascii="宋体" w:hAnsi="宋体" w:eastAsia="宋体" w:cs="宋体"/>
          <w:spacing w:val="-66"/>
          <w:sz w:val="29"/>
          <w:szCs w:val="29"/>
        </w:rPr>
        <w:t xml:space="preserve"> </w:t>
      </w:r>
      <w:r>
        <w:rPr>
          <w:rFonts w:ascii="宋体" w:hAnsi="宋体" w:eastAsia="宋体" w:cs="宋体"/>
          <w:spacing w:val="-19"/>
          <w:sz w:val="29"/>
          <w:szCs w:val="29"/>
          <w14:textOutline w14:w="5270" w14:cap="flat" w14:cmpd="sng">
            <w14:solidFill>
              <w14:srgbClr w14:val="000000"/>
            </w14:solidFill>
            <w14:prstDash w14:val="solid"/>
            <w14:miter w14:val="0"/>
          </w14:textOutline>
        </w:rPr>
        <w:t>整</w:t>
      </w:r>
      <w:r>
        <w:rPr>
          <w:rFonts w:ascii="宋体" w:hAnsi="宋体" w:eastAsia="宋体" w:cs="宋体"/>
          <w:spacing w:val="-67"/>
          <w:sz w:val="29"/>
          <w:szCs w:val="29"/>
        </w:rPr>
        <w:t xml:space="preserve"> </w:t>
      </w:r>
      <w:r>
        <w:rPr>
          <w:rFonts w:ascii="宋体" w:hAnsi="宋体" w:eastAsia="宋体" w:cs="宋体"/>
          <w:spacing w:val="-19"/>
          <w:sz w:val="29"/>
          <w:szCs w:val="29"/>
          <w14:textOutline w14:w="5270" w14:cap="flat" w14:cmpd="sng">
            <w14:solidFill>
              <w14:srgbClr w14:val="000000"/>
            </w14:solidFill>
            <w14:prstDash w14:val="solid"/>
            <w14:miter w14:val="0"/>
          </w14:textOutline>
        </w:rPr>
        <w:t>体</w:t>
      </w:r>
      <w:r>
        <w:rPr>
          <w:rFonts w:ascii="宋体" w:hAnsi="宋体" w:eastAsia="宋体" w:cs="宋体"/>
          <w:spacing w:val="-66"/>
          <w:sz w:val="29"/>
          <w:szCs w:val="29"/>
        </w:rPr>
        <w:t xml:space="preserve"> </w:t>
      </w:r>
      <w:r>
        <w:rPr>
          <w:rFonts w:ascii="宋体" w:hAnsi="宋体" w:eastAsia="宋体" w:cs="宋体"/>
          <w:spacing w:val="-19"/>
          <w:sz w:val="29"/>
          <w:szCs w:val="29"/>
          <w14:textOutline w14:w="5270" w14:cap="flat" w14:cmpd="sng">
            <w14:solidFill>
              <w14:srgbClr w14:val="000000"/>
            </w14:solidFill>
            <w14:prstDash w14:val="solid"/>
            <w14:miter w14:val="0"/>
          </w14:textOutline>
        </w:rPr>
        <w:t>支</w:t>
      </w:r>
      <w:r>
        <w:rPr>
          <w:rFonts w:ascii="宋体" w:hAnsi="宋体" w:eastAsia="宋体" w:cs="宋体"/>
          <w:spacing w:val="-41"/>
          <w:sz w:val="29"/>
          <w:szCs w:val="29"/>
        </w:rPr>
        <w:t xml:space="preserve"> </w:t>
      </w:r>
      <w:r>
        <w:rPr>
          <w:rFonts w:ascii="宋体" w:hAnsi="宋体" w:eastAsia="宋体" w:cs="宋体"/>
          <w:spacing w:val="-19"/>
          <w:sz w:val="29"/>
          <w:szCs w:val="29"/>
          <w14:textOutline w14:w="5270" w14:cap="flat" w14:cmpd="sng">
            <w14:solidFill>
              <w14:srgbClr w14:val="000000"/>
            </w14:solidFill>
            <w14:prstDash w14:val="solid"/>
            <w14:miter w14:val="0"/>
          </w14:textOutline>
        </w:rPr>
        <w:t>出</w:t>
      </w:r>
      <w:r>
        <w:rPr>
          <w:rFonts w:ascii="宋体" w:hAnsi="宋体" w:eastAsia="宋体" w:cs="宋体"/>
          <w:spacing w:val="-63"/>
          <w:sz w:val="29"/>
          <w:szCs w:val="29"/>
        </w:rPr>
        <w:t xml:space="preserve"> </w:t>
      </w:r>
      <w:r>
        <w:rPr>
          <w:rFonts w:ascii="宋体" w:hAnsi="宋体" w:eastAsia="宋体" w:cs="宋体"/>
          <w:spacing w:val="-19"/>
          <w:sz w:val="29"/>
          <w:szCs w:val="29"/>
          <w14:textOutline w14:w="5270" w14:cap="flat" w14:cmpd="sng">
            <w14:solidFill>
              <w14:srgbClr w14:val="000000"/>
            </w14:solidFill>
            <w14:prstDash w14:val="solid"/>
            <w14:miter w14:val="0"/>
          </w14:textOutline>
        </w:rPr>
        <w:t>绩</w:t>
      </w:r>
      <w:r>
        <w:rPr>
          <w:rFonts w:ascii="宋体" w:hAnsi="宋体" w:eastAsia="宋体" w:cs="宋体"/>
          <w:spacing w:val="-59"/>
          <w:sz w:val="29"/>
          <w:szCs w:val="29"/>
        </w:rPr>
        <w:t xml:space="preserve"> </w:t>
      </w:r>
      <w:r>
        <w:rPr>
          <w:rFonts w:ascii="宋体" w:hAnsi="宋体" w:eastAsia="宋体" w:cs="宋体"/>
          <w:spacing w:val="-19"/>
          <w:sz w:val="29"/>
          <w:szCs w:val="29"/>
          <w14:textOutline w14:w="5270" w14:cap="flat" w14:cmpd="sng">
            <w14:solidFill>
              <w14:srgbClr w14:val="000000"/>
            </w14:solidFill>
            <w14:prstDash w14:val="solid"/>
            <w14:miter w14:val="0"/>
          </w14:textOutline>
        </w:rPr>
        <w:t>效</w:t>
      </w:r>
      <w:r>
        <w:rPr>
          <w:rFonts w:ascii="宋体" w:hAnsi="宋体" w:eastAsia="宋体" w:cs="宋体"/>
          <w:spacing w:val="-20"/>
          <w:sz w:val="29"/>
          <w:szCs w:val="29"/>
        </w:rPr>
        <w:t xml:space="preserve"> </w:t>
      </w:r>
      <w:r>
        <w:rPr>
          <w:rFonts w:ascii="宋体" w:hAnsi="宋体" w:eastAsia="宋体" w:cs="宋体"/>
          <w:spacing w:val="-19"/>
          <w:sz w:val="29"/>
          <w:szCs w:val="29"/>
          <w14:textOutline w14:w="5270" w14:cap="flat" w14:cmpd="sng">
            <w14:solidFill>
              <w14:srgbClr w14:val="000000"/>
            </w14:solidFill>
            <w14:prstDash w14:val="solid"/>
            <w14:miter w14:val="0"/>
          </w14:textOutline>
        </w:rPr>
        <w:t>自</w:t>
      </w:r>
      <w:r>
        <w:rPr>
          <w:rFonts w:ascii="宋体" w:hAnsi="宋体" w:eastAsia="宋体" w:cs="宋体"/>
          <w:spacing w:val="-68"/>
          <w:sz w:val="29"/>
          <w:szCs w:val="29"/>
        </w:rPr>
        <w:t xml:space="preserve"> </w:t>
      </w:r>
      <w:r>
        <w:rPr>
          <w:rFonts w:ascii="宋体" w:hAnsi="宋体" w:eastAsia="宋体" w:cs="宋体"/>
          <w:spacing w:val="-19"/>
          <w:sz w:val="29"/>
          <w:szCs w:val="29"/>
          <w14:textOutline w14:w="5270" w14:cap="flat" w14:cmpd="sng">
            <w14:solidFill>
              <w14:srgbClr w14:val="000000"/>
            </w14:solidFill>
            <w14:prstDash w14:val="solid"/>
            <w14:miter w14:val="0"/>
          </w14:textOutline>
        </w:rPr>
        <w:t>评</w:t>
      </w:r>
      <w:r>
        <w:rPr>
          <w:rFonts w:ascii="宋体" w:hAnsi="宋体" w:eastAsia="宋体" w:cs="宋体"/>
          <w:spacing w:val="-63"/>
          <w:sz w:val="29"/>
          <w:szCs w:val="29"/>
        </w:rPr>
        <w:t xml:space="preserve"> </w:t>
      </w:r>
      <w:r>
        <w:rPr>
          <w:rFonts w:ascii="宋体" w:hAnsi="宋体" w:eastAsia="宋体" w:cs="宋体"/>
          <w:spacing w:val="-19"/>
          <w:sz w:val="29"/>
          <w:szCs w:val="29"/>
          <w14:textOutline w14:w="5270" w14:cap="flat" w14:cmpd="sng">
            <w14:solidFill>
              <w14:srgbClr w14:val="000000"/>
            </w14:solidFill>
            <w14:prstDash w14:val="solid"/>
            <w14:miter w14:val="0"/>
          </w14:textOutline>
        </w:rPr>
        <w:t>工</w:t>
      </w:r>
      <w:r>
        <w:rPr>
          <w:rFonts w:ascii="宋体" w:hAnsi="宋体" w:eastAsia="宋体" w:cs="宋体"/>
          <w:spacing w:val="-66"/>
          <w:sz w:val="29"/>
          <w:szCs w:val="29"/>
        </w:rPr>
        <w:t xml:space="preserve"> </w:t>
      </w:r>
      <w:r>
        <w:rPr>
          <w:rFonts w:ascii="宋体" w:hAnsi="宋体" w:eastAsia="宋体" w:cs="宋体"/>
          <w:spacing w:val="-19"/>
          <w:sz w:val="29"/>
          <w:szCs w:val="29"/>
          <w14:textOutline w14:w="5270" w14:cap="flat" w14:cmpd="sng">
            <w14:solidFill>
              <w14:srgbClr w14:val="000000"/>
            </w14:solidFill>
            <w14:prstDash w14:val="solid"/>
            <w14:miter w14:val="0"/>
          </w14:textOutline>
        </w:rPr>
        <w:t>作</w:t>
      </w:r>
      <w:r>
        <w:rPr>
          <w:rFonts w:ascii="宋体" w:hAnsi="宋体" w:eastAsia="宋体" w:cs="宋体"/>
          <w:spacing w:val="-66"/>
          <w:sz w:val="29"/>
          <w:szCs w:val="29"/>
        </w:rPr>
        <w:t xml:space="preserve"> </w:t>
      </w:r>
      <w:r>
        <w:rPr>
          <w:rFonts w:ascii="宋体" w:hAnsi="宋体" w:eastAsia="宋体" w:cs="宋体"/>
          <w:spacing w:val="-19"/>
          <w:sz w:val="29"/>
          <w:szCs w:val="29"/>
          <w14:textOutline w14:w="5270" w14:cap="flat" w14:cmpd="sng">
            <w14:solidFill>
              <w14:srgbClr w14:val="000000"/>
            </w14:solidFill>
            <w14:prstDash w14:val="solid"/>
            <w14:miter w14:val="0"/>
          </w14:textOutline>
        </w:rPr>
        <w:t>考</w:t>
      </w:r>
      <w:r>
        <w:rPr>
          <w:rFonts w:ascii="宋体" w:hAnsi="宋体" w:eastAsia="宋体" w:cs="宋体"/>
          <w:spacing w:val="-64"/>
          <w:sz w:val="29"/>
          <w:szCs w:val="29"/>
        </w:rPr>
        <w:t xml:space="preserve"> </w:t>
      </w:r>
      <w:r>
        <w:rPr>
          <w:rFonts w:ascii="宋体" w:hAnsi="宋体" w:eastAsia="宋体" w:cs="宋体"/>
          <w:spacing w:val="-19"/>
          <w:sz w:val="29"/>
          <w:szCs w:val="29"/>
          <w14:textOutline w14:w="5270" w14:cap="flat" w14:cmpd="sng">
            <w14:solidFill>
              <w14:srgbClr w14:val="000000"/>
            </w14:solidFill>
            <w14:prstDash w14:val="solid"/>
            <w14:miter w14:val="0"/>
          </w14:textOutline>
        </w:rPr>
        <w:t>核</w:t>
      </w:r>
      <w:r>
        <w:rPr>
          <w:rFonts w:ascii="宋体" w:hAnsi="宋体" w:eastAsia="宋体" w:cs="宋体"/>
          <w:spacing w:val="-68"/>
          <w:sz w:val="29"/>
          <w:szCs w:val="29"/>
        </w:rPr>
        <w:t xml:space="preserve"> </w:t>
      </w:r>
      <w:r>
        <w:rPr>
          <w:rFonts w:ascii="宋体" w:hAnsi="宋体" w:eastAsia="宋体" w:cs="宋体"/>
          <w:spacing w:val="-19"/>
          <w:sz w:val="29"/>
          <w:szCs w:val="29"/>
          <w14:textOutline w14:w="5270" w14:cap="flat" w14:cmpd="sng">
            <w14:solidFill>
              <w14:srgbClr w14:val="000000"/>
            </w14:solidFill>
            <w14:prstDash w14:val="solid"/>
            <w14:miter w14:val="0"/>
          </w14:textOutline>
        </w:rPr>
        <w:t>评</w:t>
      </w:r>
      <w:r>
        <w:rPr>
          <w:rFonts w:ascii="宋体" w:hAnsi="宋体" w:eastAsia="宋体" w:cs="宋体"/>
          <w:spacing w:val="-63"/>
          <w:sz w:val="29"/>
          <w:szCs w:val="29"/>
        </w:rPr>
        <w:t xml:space="preserve"> </w:t>
      </w:r>
      <w:r>
        <w:rPr>
          <w:rFonts w:ascii="宋体" w:hAnsi="宋体" w:eastAsia="宋体" w:cs="宋体"/>
          <w:spacing w:val="-19"/>
          <w:sz w:val="29"/>
          <w:szCs w:val="29"/>
          <w14:textOutline w14:w="5270" w14:cap="flat" w14:cmpd="sng">
            <w14:solidFill>
              <w14:srgbClr w14:val="000000"/>
            </w14:solidFill>
            <w14:prstDash w14:val="solid"/>
            <w14:miter w14:val="0"/>
          </w14:textOutline>
        </w:rPr>
        <w:t>分</w:t>
      </w:r>
      <w:r>
        <w:rPr>
          <w:rFonts w:ascii="宋体" w:hAnsi="宋体" w:eastAsia="宋体" w:cs="宋体"/>
          <w:spacing w:val="-68"/>
          <w:sz w:val="29"/>
          <w:szCs w:val="29"/>
        </w:rPr>
        <w:t xml:space="preserve"> </w:t>
      </w:r>
      <w:r>
        <w:rPr>
          <w:rFonts w:ascii="宋体" w:hAnsi="宋体" w:eastAsia="宋体" w:cs="宋体"/>
          <w:spacing w:val="-19"/>
          <w:sz w:val="29"/>
          <w:szCs w:val="29"/>
          <w14:textOutline w14:w="5270" w14:cap="flat" w14:cmpd="sng">
            <w14:solidFill>
              <w14:srgbClr w14:val="000000"/>
            </w14:solidFill>
            <w14:prstDash w14:val="solid"/>
            <w14:miter w14:val="0"/>
          </w14:textOutline>
        </w:rPr>
        <w:t>表</w:t>
      </w:r>
    </w:p>
    <w:p>
      <w:pPr>
        <w:spacing w:line="73" w:lineRule="exact"/>
      </w:pPr>
    </w:p>
    <w:tbl>
      <w:tblPr>
        <w:tblStyle w:val="5"/>
        <w:tblW w:w="99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1178"/>
        <w:gridCol w:w="4995"/>
        <w:gridCol w:w="30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744" w:type="dxa"/>
            <w:tcBorders>
              <w:top w:val="single" w:color="000000" w:sz="2" w:space="0"/>
              <w:bottom w:val="single" w:color="000000" w:sz="2" w:space="0"/>
            </w:tcBorders>
            <w:vAlign w:val="top"/>
          </w:tcPr>
          <w:p>
            <w:pPr>
              <w:spacing w:before="90" w:line="278" w:lineRule="exact"/>
              <w:ind w:firstLine="164"/>
              <w:rPr>
                <w:rFonts w:ascii="宋体" w:hAnsi="宋体" w:eastAsia="宋体" w:cs="宋体"/>
                <w:sz w:val="20"/>
                <w:szCs w:val="20"/>
              </w:rPr>
            </w:pPr>
            <w:r>
              <w:rPr>
                <w:rFonts w:ascii="宋体" w:hAnsi="宋体" w:eastAsia="宋体" w:cs="宋体"/>
                <w:spacing w:val="6"/>
                <w:position w:val="5"/>
                <w:sz w:val="20"/>
                <w:szCs w:val="20"/>
              </w:rPr>
              <w:t>一级</w:t>
            </w:r>
          </w:p>
          <w:p>
            <w:pPr>
              <w:spacing w:line="220" w:lineRule="auto"/>
              <w:ind w:firstLine="164"/>
              <w:rPr>
                <w:rFonts w:ascii="宋体" w:hAnsi="宋体" w:eastAsia="宋体" w:cs="宋体"/>
                <w:sz w:val="20"/>
                <w:szCs w:val="20"/>
              </w:rPr>
            </w:pPr>
            <w:r>
              <w:rPr>
                <w:rFonts w:ascii="宋体" w:hAnsi="宋体" w:eastAsia="宋体" w:cs="宋体"/>
                <w:spacing w:val="-3"/>
                <w:sz w:val="20"/>
                <w:szCs w:val="20"/>
              </w:rPr>
              <w:t>指标</w:t>
            </w:r>
          </w:p>
        </w:tc>
        <w:tc>
          <w:tcPr>
            <w:tcW w:w="1178" w:type="dxa"/>
            <w:tcBorders>
              <w:top w:val="single" w:color="000000" w:sz="2" w:space="0"/>
              <w:bottom w:val="single" w:color="000000" w:sz="2" w:space="0"/>
            </w:tcBorders>
            <w:vAlign w:val="top"/>
          </w:tcPr>
          <w:p>
            <w:pPr>
              <w:spacing w:before="208" w:line="220" w:lineRule="auto"/>
              <w:ind w:firstLine="180"/>
              <w:rPr>
                <w:rFonts w:ascii="宋体" w:hAnsi="宋体" w:eastAsia="宋体" w:cs="宋体"/>
                <w:sz w:val="20"/>
                <w:szCs w:val="20"/>
              </w:rPr>
            </w:pPr>
            <w:r>
              <w:rPr>
                <w:rFonts w:ascii="宋体" w:hAnsi="宋体" w:eastAsia="宋体" w:cs="宋体"/>
                <w:spacing w:val="-3"/>
                <w:sz w:val="20"/>
                <w:szCs w:val="20"/>
              </w:rPr>
              <w:t>二级指标</w:t>
            </w:r>
          </w:p>
        </w:tc>
        <w:tc>
          <w:tcPr>
            <w:tcW w:w="4995" w:type="dxa"/>
            <w:tcBorders>
              <w:top w:val="single" w:color="000000" w:sz="2" w:space="0"/>
              <w:bottom w:val="single" w:color="000000" w:sz="2" w:space="0"/>
            </w:tcBorders>
            <w:vAlign w:val="top"/>
          </w:tcPr>
          <w:p>
            <w:pPr>
              <w:spacing w:before="208" w:line="220" w:lineRule="auto"/>
              <w:ind w:firstLine="2082"/>
              <w:rPr>
                <w:rFonts w:ascii="宋体" w:hAnsi="宋体" w:eastAsia="宋体" w:cs="宋体"/>
                <w:sz w:val="20"/>
                <w:szCs w:val="20"/>
              </w:rPr>
            </w:pPr>
            <w:r>
              <w:rPr>
                <w:rFonts w:ascii="宋体" w:hAnsi="宋体" w:eastAsia="宋体" w:cs="宋体"/>
                <w:spacing w:val="7"/>
                <w:sz w:val="20"/>
                <w:szCs w:val="20"/>
              </w:rPr>
              <w:t>评分标准</w:t>
            </w:r>
          </w:p>
        </w:tc>
        <w:tc>
          <w:tcPr>
            <w:tcW w:w="3002" w:type="dxa"/>
            <w:tcBorders>
              <w:top w:val="single" w:color="000000" w:sz="2" w:space="0"/>
              <w:bottom w:val="single" w:color="000000" w:sz="2" w:space="0"/>
            </w:tcBorders>
            <w:vAlign w:val="top"/>
          </w:tcPr>
          <w:p>
            <w:pPr>
              <w:spacing w:before="207" w:line="219" w:lineRule="auto"/>
              <w:ind w:firstLine="877"/>
              <w:rPr>
                <w:rFonts w:ascii="宋体" w:hAnsi="宋体" w:eastAsia="宋体" w:cs="宋体"/>
                <w:sz w:val="20"/>
                <w:szCs w:val="20"/>
              </w:rPr>
            </w:pPr>
            <w:r>
              <w:rPr>
                <w:rFonts w:ascii="宋体" w:hAnsi="宋体" w:eastAsia="宋体" w:cs="宋体"/>
                <w:spacing w:val="4"/>
                <w:sz w:val="20"/>
                <w:szCs w:val="20"/>
              </w:rPr>
              <w:t>所需佐证材料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4" w:hRule="atLeast"/>
        </w:trPr>
        <w:tc>
          <w:tcPr>
            <w:tcW w:w="744" w:type="dxa"/>
            <w:vMerge w:val="restart"/>
            <w:tcBorders>
              <w:top w:val="single" w:color="000000" w:sz="2" w:space="0"/>
              <w:bottom w:val="nil"/>
            </w:tcBorders>
            <w:vAlign w:val="top"/>
          </w:tcPr>
          <w:p>
            <w:pPr>
              <w:spacing w:line="311" w:lineRule="auto"/>
              <w:rPr>
                <w:rFonts w:ascii="Arial"/>
                <w:sz w:val="21"/>
              </w:rPr>
            </w:pPr>
          </w:p>
          <w:p>
            <w:pPr>
              <w:spacing w:line="312" w:lineRule="auto"/>
              <w:rPr>
                <w:rFonts w:ascii="Arial"/>
                <w:sz w:val="21"/>
              </w:rPr>
            </w:pPr>
          </w:p>
          <w:p>
            <w:pPr>
              <w:spacing w:before="65" w:line="291" w:lineRule="exact"/>
              <w:ind w:firstLine="164"/>
              <w:rPr>
                <w:rFonts w:ascii="宋体" w:hAnsi="宋体" w:eastAsia="宋体" w:cs="宋体"/>
                <w:sz w:val="20"/>
                <w:szCs w:val="20"/>
              </w:rPr>
            </w:pPr>
            <w:r>
              <w:rPr>
                <w:rFonts w:ascii="宋体" w:hAnsi="宋体" w:eastAsia="宋体" w:cs="宋体"/>
                <w:spacing w:val="-2"/>
                <w:position w:val="6"/>
                <w:sz w:val="20"/>
                <w:szCs w:val="20"/>
              </w:rPr>
              <w:t>布置</w:t>
            </w:r>
          </w:p>
          <w:p>
            <w:pPr>
              <w:spacing w:line="220" w:lineRule="auto"/>
              <w:ind w:firstLine="164"/>
              <w:rPr>
                <w:rFonts w:ascii="宋体" w:hAnsi="宋体" w:eastAsia="宋体" w:cs="宋体"/>
                <w:sz w:val="20"/>
                <w:szCs w:val="20"/>
              </w:rPr>
            </w:pPr>
            <w:r>
              <w:rPr>
                <w:rFonts w:ascii="宋体" w:hAnsi="宋体" w:eastAsia="宋体" w:cs="宋体"/>
                <w:spacing w:val="6"/>
                <w:sz w:val="20"/>
                <w:szCs w:val="20"/>
              </w:rPr>
              <w:t>工作</w:t>
            </w:r>
          </w:p>
          <w:p>
            <w:pPr>
              <w:spacing w:line="304" w:lineRule="auto"/>
              <w:rPr>
                <w:rFonts w:ascii="Arial"/>
                <w:sz w:val="21"/>
              </w:rPr>
            </w:pPr>
          </w:p>
          <w:p>
            <w:pPr>
              <w:spacing w:before="65" w:line="220" w:lineRule="auto"/>
              <w:ind w:firstLine="164"/>
              <w:rPr>
                <w:rFonts w:ascii="宋体" w:hAnsi="宋体" w:eastAsia="宋体" w:cs="宋体"/>
                <w:sz w:val="20"/>
                <w:szCs w:val="20"/>
              </w:rPr>
            </w:pPr>
            <w:r>
              <w:rPr>
                <w:rFonts w:ascii="宋体" w:hAnsi="宋体" w:eastAsia="宋体" w:cs="宋体"/>
                <w:spacing w:val="2"/>
                <w:sz w:val="20"/>
                <w:szCs w:val="20"/>
              </w:rPr>
              <w:t>10分</w:t>
            </w:r>
          </w:p>
        </w:tc>
        <w:tc>
          <w:tcPr>
            <w:tcW w:w="1178" w:type="dxa"/>
            <w:tcBorders>
              <w:top w:val="single" w:color="000000" w:sz="2" w:space="0"/>
              <w:bottom w:val="single" w:color="000000" w:sz="2" w:space="0"/>
            </w:tcBorders>
            <w:vAlign w:val="top"/>
          </w:tcPr>
          <w:p>
            <w:pPr>
              <w:spacing w:line="466" w:lineRule="auto"/>
              <w:rPr>
                <w:rFonts w:ascii="Arial"/>
                <w:sz w:val="21"/>
              </w:rPr>
            </w:pPr>
          </w:p>
          <w:p>
            <w:pPr>
              <w:spacing w:before="65" w:line="281" w:lineRule="auto"/>
              <w:ind w:left="130" w:right="136" w:firstLine="50"/>
              <w:rPr>
                <w:rFonts w:ascii="宋体" w:hAnsi="宋体" w:eastAsia="宋体" w:cs="宋体"/>
                <w:sz w:val="20"/>
                <w:szCs w:val="20"/>
              </w:rPr>
            </w:pPr>
            <w:r>
              <w:rPr>
                <w:rFonts w:ascii="宋体" w:hAnsi="宋体" w:eastAsia="宋体" w:cs="宋体"/>
                <w:spacing w:val="3"/>
                <w:sz w:val="20"/>
                <w:szCs w:val="20"/>
              </w:rPr>
              <w:t xml:space="preserve">自评通知 </w:t>
            </w:r>
            <w:r>
              <w:rPr>
                <w:rFonts w:ascii="宋体" w:hAnsi="宋体" w:eastAsia="宋体" w:cs="宋体"/>
                <w:spacing w:val="6"/>
                <w:sz w:val="20"/>
                <w:szCs w:val="20"/>
              </w:rPr>
              <w:t>（8</w:t>
            </w:r>
            <w:r>
              <w:rPr>
                <w:rFonts w:ascii="宋体" w:hAnsi="宋体" w:eastAsia="宋体" w:cs="宋体"/>
                <w:sz w:val="20"/>
                <w:szCs w:val="20"/>
              </w:rPr>
              <w:t xml:space="preserve"> </w:t>
            </w:r>
            <w:r>
              <w:rPr>
                <w:rFonts w:ascii="宋体" w:hAnsi="宋体" w:eastAsia="宋体" w:cs="宋体"/>
                <w:spacing w:val="6"/>
                <w:sz w:val="20"/>
                <w:szCs w:val="20"/>
              </w:rPr>
              <w:t>分</w:t>
            </w:r>
            <w:r>
              <w:rPr>
                <w:rFonts w:ascii="宋体" w:hAnsi="宋体" w:eastAsia="宋体" w:cs="宋体"/>
                <w:spacing w:val="-24"/>
                <w:sz w:val="20"/>
                <w:szCs w:val="20"/>
              </w:rPr>
              <w:t xml:space="preserve"> </w:t>
            </w:r>
            <w:r>
              <w:rPr>
                <w:rFonts w:ascii="宋体" w:hAnsi="宋体" w:eastAsia="宋体" w:cs="宋体"/>
                <w:spacing w:val="6"/>
                <w:sz w:val="20"/>
                <w:szCs w:val="20"/>
              </w:rPr>
              <w:t>）</w:t>
            </w:r>
          </w:p>
        </w:tc>
        <w:tc>
          <w:tcPr>
            <w:tcW w:w="4995" w:type="dxa"/>
            <w:tcBorders>
              <w:top w:val="single" w:color="000000" w:sz="2" w:space="0"/>
              <w:bottom w:val="single" w:color="000000" w:sz="2" w:space="0"/>
            </w:tcBorders>
            <w:vAlign w:val="top"/>
          </w:tcPr>
          <w:p>
            <w:pPr>
              <w:spacing w:before="90" w:line="261" w:lineRule="auto"/>
              <w:ind w:left="133" w:right="58" w:firstLine="19"/>
              <w:rPr>
                <w:rFonts w:ascii="宋体" w:hAnsi="宋体" w:eastAsia="宋体" w:cs="宋体"/>
                <w:sz w:val="20"/>
                <w:szCs w:val="20"/>
              </w:rPr>
            </w:pPr>
            <w:r>
              <w:rPr>
                <w:rFonts w:ascii="宋体" w:hAnsi="宋体" w:eastAsia="宋体" w:cs="宋体"/>
                <w:spacing w:val="2"/>
                <w:sz w:val="20"/>
                <w:szCs w:val="20"/>
              </w:rPr>
              <w:t xml:space="preserve">1、印发绩效自评通知的得2分,否则不得分。         </w:t>
            </w:r>
            <w:r>
              <w:rPr>
                <w:rFonts w:ascii="宋体" w:hAnsi="宋体" w:eastAsia="宋体" w:cs="宋体"/>
                <w:spacing w:val="3"/>
                <w:sz w:val="20"/>
                <w:szCs w:val="20"/>
              </w:rPr>
              <w:t>2、按照本规程规定,绩效自评通知包括自评范围、自</w:t>
            </w:r>
            <w:r>
              <w:rPr>
                <w:rFonts w:ascii="宋体" w:hAnsi="宋体" w:eastAsia="宋体" w:cs="宋体"/>
                <w:sz w:val="20"/>
                <w:szCs w:val="20"/>
              </w:rPr>
              <w:t xml:space="preserve">  </w:t>
            </w:r>
            <w:r>
              <w:rPr>
                <w:rFonts w:ascii="宋体" w:hAnsi="宋体" w:eastAsia="宋体" w:cs="宋体"/>
                <w:spacing w:val="-1"/>
                <w:sz w:val="20"/>
                <w:szCs w:val="20"/>
              </w:rPr>
              <w:t>评主要依据、自评主要内容、自评程序和步骤、有关要</w:t>
            </w:r>
            <w:r>
              <w:rPr>
                <w:rFonts w:ascii="宋体" w:hAnsi="宋体" w:eastAsia="宋体" w:cs="宋体"/>
                <w:spacing w:val="16"/>
                <w:sz w:val="20"/>
                <w:szCs w:val="20"/>
              </w:rPr>
              <w:t xml:space="preserve"> </w:t>
            </w:r>
            <w:r>
              <w:rPr>
                <w:rFonts w:ascii="宋体" w:hAnsi="宋体" w:eastAsia="宋体" w:cs="宋体"/>
                <w:spacing w:val="10"/>
                <w:w w:val="102"/>
                <w:sz w:val="20"/>
                <w:szCs w:val="20"/>
              </w:rPr>
              <w:t>求等内容,并附有本通知要求的附件的,得6分;否则</w:t>
            </w:r>
            <w:r>
              <w:rPr>
                <w:rFonts w:ascii="宋体" w:hAnsi="宋体" w:eastAsia="宋体" w:cs="宋体"/>
                <w:spacing w:val="10"/>
                <w:sz w:val="20"/>
                <w:szCs w:val="20"/>
              </w:rPr>
              <w:t xml:space="preserve"> </w:t>
            </w:r>
            <w:r>
              <w:rPr>
                <w:rFonts w:ascii="宋体" w:hAnsi="宋体" w:eastAsia="宋体" w:cs="宋体"/>
                <w:spacing w:val="10"/>
                <w:w w:val="110"/>
                <w:sz w:val="20"/>
                <w:szCs w:val="20"/>
              </w:rPr>
              <w:t>缺1项扣1分,最多扣6分。</w:t>
            </w:r>
          </w:p>
        </w:tc>
        <w:tc>
          <w:tcPr>
            <w:tcW w:w="3002" w:type="dxa"/>
            <w:tcBorders>
              <w:top w:val="single" w:color="000000" w:sz="2" w:space="0"/>
              <w:bottom w:val="single" w:color="000000" w:sz="2" w:space="0"/>
            </w:tcBorders>
            <w:vAlign w:val="top"/>
          </w:tcPr>
          <w:p>
            <w:pPr>
              <w:spacing w:line="291" w:lineRule="auto"/>
              <w:rPr>
                <w:rFonts w:ascii="Arial"/>
                <w:sz w:val="21"/>
              </w:rPr>
            </w:pPr>
          </w:p>
          <w:p>
            <w:pPr>
              <w:spacing w:line="292" w:lineRule="auto"/>
              <w:rPr>
                <w:rFonts w:ascii="Arial"/>
                <w:sz w:val="21"/>
              </w:rPr>
            </w:pPr>
          </w:p>
          <w:p>
            <w:pPr>
              <w:spacing w:before="65" w:line="219" w:lineRule="auto"/>
              <w:ind w:firstLine="138"/>
              <w:rPr>
                <w:rFonts w:ascii="宋体" w:hAnsi="宋体" w:eastAsia="宋体" w:cs="宋体"/>
                <w:sz w:val="20"/>
                <w:szCs w:val="20"/>
              </w:rPr>
            </w:pPr>
            <w:r>
              <w:rPr>
                <w:rFonts w:ascii="宋体" w:hAnsi="宋体" w:eastAsia="宋体" w:cs="宋体"/>
                <w:spacing w:val="-1"/>
                <w:sz w:val="20"/>
                <w:szCs w:val="20"/>
              </w:rPr>
              <w:t>绩效自评通知盖章的电子版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trPr>
        <w:tc>
          <w:tcPr>
            <w:tcW w:w="744" w:type="dxa"/>
            <w:vMerge w:val="continue"/>
            <w:tcBorders>
              <w:top w:val="nil"/>
              <w:bottom w:val="single" w:color="000000" w:sz="2" w:space="0"/>
            </w:tcBorders>
            <w:vAlign w:val="top"/>
          </w:tcPr>
          <w:p>
            <w:pPr>
              <w:rPr>
                <w:rFonts w:ascii="Arial"/>
                <w:sz w:val="21"/>
              </w:rPr>
            </w:pPr>
          </w:p>
        </w:tc>
        <w:tc>
          <w:tcPr>
            <w:tcW w:w="1178" w:type="dxa"/>
            <w:tcBorders>
              <w:top w:val="single" w:color="000000" w:sz="2" w:space="0"/>
              <w:bottom w:val="single" w:color="000000" w:sz="2" w:space="0"/>
            </w:tcBorders>
            <w:vAlign w:val="top"/>
          </w:tcPr>
          <w:p>
            <w:pPr>
              <w:spacing w:before="225" w:line="290" w:lineRule="auto"/>
              <w:ind w:left="330" w:right="197" w:hanging="150"/>
              <w:rPr>
                <w:rFonts w:ascii="宋体" w:hAnsi="宋体" w:eastAsia="宋体" w:cs="宋体"/>
                <w:sz w:val="20"/>
                <w:szCs w:val="20"/>
              </w:rPr>
            </w:pPr>
            <w:r>
              <w:rPr>
                <w:rFonts w:ascii="宋体" w:hAnsi="宋体" w:eastAsia="宋体" w:cs="宋体"/>
                <w:spacing w:val="-3"/>
                <w:sz w:val="20"/>
                <w:szCs w:val="20"/>
              </w:rPr>
              <w:t>工作小组</w:t>
            </w:r>
            <w:r>
              <w:rPr>
                <w:rFonts w:ascii="宋体" w:hAnsi="宋体" w:eastAsia="宋体" w:cs="宋体"/>
                <w:spacing w:val="1"/>
                <w:sz w:val="20"/>
                <w:szCs w:val="20"/>
              </w:rPr>
              <w:t xml:space="preserve"> </w:t>
            </w:r>
            <w:r>
              <w:rPr>
                <w:rFonts w:ascii="宋体" w:hAnsi="宋体" w:eastAsia="宋体" w:cs="宋体"/>
                <w:spacing w:val="10"/>
                <w:sz w:val="20"/>
                <w:szCs w:val="20"/>
              </w:rPr>
              <w:t>(2分)</w:t>
            </w:r>
          </w:p>
        </w:tc>
        <w:tc>
          <w:tcPr>
            <w:tcW w:w="4995" w:type="dxa"/>
            <w:tcBorders>
              <w:top w:val="single" w:color="000000" w:sz="2" w:space="0"/>
              <w:bottom w:val="single" w:color="000000" w:sz="2" w:space="0"/>
            </w:tcBorders>
            <w:vAlign w:val="top"/>
          </w:tcPr>
          <w:p>
            <w:pPr>
              <w:spacing w:line="284" w:lineRule="auto"/>
              <w:rPr>
                <w:rFonts w:ascii="Arial"/>
                <w:sz w:val="21"/>
              </w:rPr>
            </w:pPr>
          </w:p>
          <w:p>
            <w:pPr>
              <w:spacing w:before="65" w:line="216" w:lineRule="auto"/>
              <w:ind w:firstLine="153"/>
              <w:rPr>
                <w:rFonts w:ascii="宋体" w:hAnsi="宋体" w:eastAsia="宋体" w:cs="宋体"/>
                <w:sz w:val="20"/>
                <w:szCs w:val="20"/>
              </w:rPr>
            </w:pPr>
            <w:r>
              <w:rPr>
                <w:rFonts w:ascii="宋体" w:hAnsi="宋体" w:eastAsia="宋体" w:cs="宋体"/>
                <w:spacing w:val="2"/>
                <w:sz w:val="20"/>
                <w:szCs w:val="20"/>
              </w:rPr>
              <w:t>成立绩效自评工作小组的得2分,否则不得分。</w:t>
            </w:r>
          </w:p>
        </w:tc>
        <w:tc>
          <w:tcPr>
            <w:tcW w:w="3002" w:type="dxa"/>
            <w:tcBorders>
              <w:top w:val="single" w:color="000000" w:sz="2" w:space="0"/>
              <w:bottom w:val="single" w:color="000000" w:sz="2" w:space="0"/>
            </w:tcBorders>
            <w:vAlign w:val="top"/>
          </w:tcPr>
          <w:p>
            <w:pPr>
              <w:spacing w:before="75" w:line="252" w:lineRule="auto"/>
              <w:ind w:left="138" w:right="40"/>
              <w:rPr>
                <w:rFonts w:ascii="宋体" w:hAnsi="宋体" w:eastAsia="宋体" w:cs="宋体"/>
                <w:sz w:val="20"/>
                <w:szCs w:val="20"/>
              </w:rPr>
            </w:pPr>
            <w:r>
              <w:rPr>
                <w:rFonts w:ascii="宋体" w:hAnsi="宋体" w:eastAsia="宋体" w:cs="宋体"/>
                <w:sz w:val="20"/>
                <w:szCs w:val="20"/>
              </w:rPr>
              <w:t>绩效自评通知盖章的电子版或本</w:t>
            </w:r>
            <w:r>
              <w:rPr>
                <w:rFonts w:ascii="宋体" w:hAnsi="宋体" w:eastAsia="宋体" w:cs="宋体"/>
                <w:spacing w:val="9"/>
                <w:sz w:val="20"/>
                <w:szCs w:val="20"/>
              </w:rPr>
              <w:t xml:space="preserve"> </w:t>
            </w:r>
            <w:r>
              <w:rPr>
                <w:rFonts w:ascii="宋体" w:hAnsi="宋体" w:eastAsia="宋体" w:cs="宋体"/>
                <w:sz w:val="20"/>
                <w:szCs w:val="20"/>
              </w:rPr>
              <w:t>部门、本单位预算绩效管理领导</w:t>
            </w:r>
            <w:r>
              <w:rPr>
                <w:rFonts w:ascii="宋体" w:hAnsi="宋体" w:eastAsia="宋体" w:cs="宋体"/>
                <w:spacing w:val="13"/>
                <w:sz w:val="20"/>
                <w:szCs w:val="20"/>
              </w:rPr>
              <w:t xml:space="preserve"> </w:t>
            </w:r>
            <w:r>
              <w:rPr>
                <w:rFonts w:ascii="宋体" w:hAnsi="宋体" w:eastAsia="宋体" w:cs="宋体"/>
                <w:sz w:val="20"/>
                <w:szCs w:val="20"/>
              </w:rPr>
              <w:t>小组成立文件盖章的电子版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trPr>
        <w:tc>
          <w:tcPr>
            <w:tcW w:w="744" w:type="dxa"/>
            <w:vMerge w:val="restart"/>
            <w:tcBorders>
              <w:top w:val="single" w:color="000000" w:sz="2" w:space="0"/>
              <w:bottom w:val="nil"/>
            </w:tcBorders>
            <w:vAlign w:val="top"/>
          </w:tcPr>
          <w:p>
            <w:pPr>
              <w:spacing w:line="308" w:lineRule="auto"/>
              <w:rPr>
                <w:rFonts w:ascii="Arial"/>
                <w:sz w:val="21"/>
              </w:rPr>
            </w:pPr>
          </w:p>
          <w:p>
            <w:pPr>
              <w:spacing w:before="65" w:line="318" w:lineRule="exact"/>
              <w:ind w:firstLine="164"/>
              <w:rPr>
                <w:rFonts w:ascii="宋体" w:hAnsi="宋体" w:eastAsia="宋体" w:cs="宋体"/>
                <w:sz w:val="20"/>
                <w:szCs w:val="20"/>
              </w:rPr>
            </w:pPr>
            <w:r>
              <w:rPr>
                <w:rFonts w:ascii="宋体" w:hAnsi="宋体" w:eastAsia="宋体" w:cs="宋体"/>
                <w:spacing w:val="4"/>
                <w:position w:val="8"/>
                <w:sz w:val="20"/>
                <w:szCs w:val="20"/>
              </w:rPr>
              <w:t>实施</w:t>
            </w:r>
          </w:p>
          <w:p>
            <w:pPr>
              <w:spacing w:line="217" w:lineRule="auto"/>
              <w:ind w:firstLine="164"/>
              <w:rPr>
                <w:rFonts w:ascii="宋体" w:hAnsi="宋体" w:eastAsia="宋体" w:cs="宋体"/>
                <w:sz w:val="20"/>
                <w:szCs w:val="20"/>
              </w:rPr>
            </w:pPr>
            <w:r>
              <w:rPr>
                <w:rFonts w:ascii="宋体" w:hAnsi="宋体" w:eastAsia="宋体" w:cs="宋体"/>
                <w:spacing w:val="-2"/>
                <w:sz w:val="20"/>
                <w:szCs w:val="20"/>
              </w:rPr>
              <w:t>评价</w:t>
            </w:r>
          </w:p>
          <w:p>
            <w:pPr>
              <w:spacing w:line="299" w:lineRule="auto"/>
              <w:rPr>
                <w:rFonts w:ascii="Arial"/>
                <w:sz w:val="21"/>
              </w:rPr>
            </w:pPr>
          </w:p>
          <w:p>
            <w:pPr>
              <w:spacing w:before="65" w:line="220" w:lineRule="auto"/>
              <w:ind w:firstLine="164"/>
              <w:rPr>
                <w:rFonts w:ascii="宋体" w:hAnsi="宋体" w:eastAsia="宋体" w:cs="宋体"/>
                <w:sz w:val="20"/>
                <w:szCs w:val="20"/>
              </w:rPr>
            </w:pPr>
            <w:r>
              <w:rPr>
                <w:rFonts w:ascii="宋体" w:hAnsi="宋体" w:eastAsia="宋体" w:cs="宋体"/>
                <w:spacing w:val="-2"/>
                <w:sz w:val="20"/>
                <w:szCs w:val="20"/>
              </w:rPr>
              <w:t>20分</w:t>
            </w:r>
          </w:p>
        </w:tc>
        <w:tc>
          <w:tcPr>
            <w:tcW w:w="1178" w:type="dxa"/>
            <w:tcBorders>
              <w:top w:val="single" w:color="000000" w:sz="2" w:space="0"/>
              <w:bottom w:val="single" w:color="000000" w:sz="2" w:space="0"/>
            </w:tcBorders>
            <w:vAlign w:val="top"/>
          </w:tcPr>
          <w:p>
            <w:pPr>
              <w:spacing w:line="318" w:lineRule="auto"/>
              <w:rPr>
                <w:rFonts w:ascii="Arial"/>
                <w:sz w:val="21"/>
              </w:rPr>
            </w:pPr>
          </w:p>
          <w:p>
            <w:pPr>
              <w:spacing w:before="65" w:line="299" w:lineRule="auto"/>
              <w:ind w:left="279" w:right="196" w:hanging="99"/>
              <w:rPr>
                <w:rFonts w:ascii="宋体" w:hAnsi="宋体" w:eastAsia="宋体" w:cs="宋体"/>
                <w:sz w:val="20"/>
                <w:szCs w:val="20"/>
              </w:rPr>
            </w:pPr>
            <w:r>
              <w:rPr>
                <w:rFonts w:ascii="宋体" w:hAnsi="宋体" w:eastAsia="宋体" w:cs="宋体"/>
                <w:spacing w:val="-3"/>
                <w:sz w:val="20"/>
                <w:szCs w:val="20"/>
              </w:rPr>
              <w:t>单位自查</w:t>
            </w:r>
            <w:r>
              <w:rPr>
                <w:rFonts w:ascii="宋体" w:hAnsi="宋体" w:eastAsia="宋体" w:cs="宋体"/>
                <w:spacing w:val="2"/>
                <w:sz w:val="20"/>
                <w:szCs w:val="20"/>
              </w:rPr>
              <w:t xml:space="preserve"> </w:t>
            </w:r>
            <w:r>
              <w:rPr>
                <w:rFonts w:ascii="宋体" w:hAnsi="宋体" w:eastAsia="宋体" w:cs="宋体"/>
                <w:spacing w:val="8"/>
                <w:sz w:val="20"/>
                <w:szCs w:val="20"/>
              </w:rPr>
              <w:t>(10分)</w:t>
            </w:r>
          </w:p>
        </w:tc>
        <w:tc>
          <w:tcPr>
            <w:tcW w:w="4995" w:type="dxa"/>
            <w:tcBorders>
              <w:top w:val="single" w:color="000000" w:sz="2" w:space="0"/>
              <w:bottom w:val="single" w:color="000000" w:sz="2" w:space="0"/>
            </w:tcBorders>
            <w:vAlign w:val="top"/>
          </w:tcPr>
          <w:p>
            <w:pPr>
              <w:spacing w:before="83" w:line="261" w:lineRule="auto"/>
              <w:ind w:left="133" w:right="101" w:firstLine="19"/>
              <w:rPr>
                <w:rFonts w:ascii="宋体" w:hAnsi="宋体" w:eastAsia="宋体" w:cs="宋体"/>
                <w:sz w:val="20"/>
                <w:szCs w:val="20"/>
              </w:rPr>
            </w:pPr>
            <w:r>
              <w:rPr>
                <w:rFonts w:ascii="宋体" w:hAnsi="宋体" w:eastAsia="宋体" w:cs="宋体"/>
                <w:spacing w:val="1"/>
                <w:sz w:val="20"/>
                <w:szCs w:val="20"/>
              </w:rPr>
              <w:t>省级预算部门本级和所属单位都要开展绩效自查,转移</w:t>
            </w:r>
            <w:r>
              <w:rPr>
                <w:rFonts w:ascii="宋体" w:hAnsi="宋体" w:eastAsia="宋体" w:cs="宋体"/>
                <w:spacing w:val="6"/>
                <w:sz w:val="20"/>
                <w:szCs w:val="20"/>
              </w:rPr>
              <w:t xml:space="preserve"> </w:t>
            </w:r>
            <w:r>
              <w:rPr>
                <w:rFonts w:ascii="宋体" w:hAnsi="宋体" w:eastAsia="宋体" w:cs="宋体"/>
                <w:spacing w:val="2"/>
                <w:sz w:val="20"/>
                <w:szCs w:val="20"/>
              </w:rPr>
              <w:t>支付项目单位都要开展绩效自查,市、县级主管部门都</w:t>
            </w:r>
            <w:r>
              <w:rPr>
                <w:rFonts w:ascii="宋体" w:hAnsi="宋体" w:eastAsia="宋体" w:cs="宋体"/>
                <w:sz w:val="20"/>
                <w:szCs w:val="20"/>
              </w:rPr>
              <w:t xml:space="preserve"> </w:t>
            </w:r>
            <w:r>
              <w:rPr>
                <w:rFonts w:ascii="宋体" w:hAnsi="宋体" w:eastAsia="宋体" w:cs="宋体"/>
                <w:spacing w:val="1"/>
                <w:sz w:val="20"/>
                <w:szCs w:val="20"/>
              </w:rPr>
              <w:t>要汇总本区域转移支付情况;以上各项每发现一个单位</w:t>
            </w:r>
            <w:r>
              <w:rPr>
                <w:rFonts w:ascii="宋体" w:hAnsi="宋体" w:eastAsia="宋体" w:cs="宋体"/>
                <w:spacing w:val="3"/>
                <w:sz w:val="20"/>
                <w:szCs w:val="20"/>
              </w:rPr>
              <w:t xml:space="preserve"> </w:t>
            </w:r>
            <w:r>
              <w:rPr>
                <w:rFonts w:ascii="宋体" w:hAnsi="宋体" w:eastAsia="宋体" w:cs="宋体"/>
                <w:spacing w:val="11"/>
                <w:w w:val="102"/>
                <w:sz w:val="20"/>
                <w:szCs w:val="20"/>
              </w:rPr>
              <w:t>没有做相应工作的,扣1分,最多扣10分。</w:t>
            </w:r>
          </w:p>
        </w:tc>
        <w:tc>
          <w:tcPr>
            <w:tcW w:w="3002" w:type="dxa"/>
            <w:tcBorders>
              <w:top w:val="single" w:color="000000" w:sz="2" w:space="0"/>
              <w:bottom w:val="single" w:color="000000" w:sz="2" w:space="0"/>
            </w:tcBorders>
            <w:vAlign w:val="top"/>
          </w:tcPr>
          <w:p>
            <w:pPr>
              <w:spacing w:before="95" w:line="244" w:lineRule="auto"/>
              <w:ind w:left="138" w:right="119"/>
              <w:rPr>
                <w:rFonts w:ascii="宋体" w:hAnsi="宋体" w:eastAsia="宋体" w:cs="宋体"/>
                <w:sz w:val="20"/>
                <w:szCs w:val="20"/>
              </w:rPr>
            </w:pPr>
            <w:r>
              <w:rPr>
                <w:rFonts w:ascii="宋体" w:hAnsi="宋体" w:eastAsia="宋体" w:cs="宋体"/>
                <w:spacing w:val="2"/>
                <w:sz w:val="20"/>
                <w:szCs w:val="20"/>
              </w:rPr>
              <w:t>1、转移支付项目单位名称和资</w:t>
            </w:r>
            <w:r>
              <w:rPr>
                <w:rFonts w:ascii="宋体" w:hAnsi="宋体" w:eastAsia="宋体" w:cs="宋体"/>
                <w:spacing w:val="6"/>
                <w:sz w:val="20"/>
                <w:szCs w:val="20"/>
              </w:rPr>
              <w:t xml:space="preserve"> </w:t>
            </w:r>
            <w:r>
              <w:rPr>
                <w:rFonts w:ascii="宋体" w:hAnsi="宋体" w:eastAsia="宋体" w:cs="宋体"/>
                <w:spacing w:val="-2"/>
                <w:sz w:val="20"/>
                <w:szCs w:val="20"/>
              </w:rPr>
              <w:t>金情况清单</w:t>
            </w:r>
          </w:p>
          <w:p>
            <w:pPr>
              <w:spacing w:before="61" w:line="244" w:lineRule="auto"/>
              <w:ind w:left="138" w:right="83"/>
              <w:rPr>
                <w:rFonts w:ascii="宋体" w:hAnsi="宋体" w:eastAsia="宋体" w:cs="宋体"/>
                <w:sz w:val="20"/>
                <w:szCs w:val="20"/>
              </w:rPr>
            </w:pPr>
            <w:r>
              <w:rPr>
                <w:rFonts w:ascii="宋体" w:hAnsi="宋体" w:eastAsia="宋体" w:cs="宋体"/>
                <w:spacing w:val="5"/>
                <w:sz w:val="20"/>
                <w:szCs w:val="20"/>
              </w:rPr>
              <w:t>2、有转移支付资金的各市州主</w:t>
            </w:r>
            <w:r>
              <w:rPr>
                <w:rFonts w:ascii="宋体" w:hAnsi="宋体" w:eastAsia="宋体" w:cs="宋体"/>
                <w:sz w:val="20"/>
                <w:szCs w:val="20"/>
              </w:rPr>
              <w:t xml:space="preserve"> </w:t>
            </w:r>
            <w:r>
              <w:rPr>
                <w:rFonts w:ascii="宋体" w:hAnsi="宋体" w:eastAsia="宋体" w:cs="宋体"/>
                <w:spacing w:val="7"/>
                <w:sz w:val="20"/>
                <w:szCs w:val="20"/>
              </w:rPr>
              <w:t>管部门汇总情况的盖章PDF版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744" w:type="dxa"/>
            <w:vMerge w:val="continue"/>
            <w:tcBorders>
              <w:top w:val="nil"/>
              <w:bottom w:val="single" w:color="000000" w:sz="2" w:space="0"/>
            </w:tcBorders>
            <w:vAlign w:val="top"/>
          </w:tcPr>
          <w:p>
            <w:pPr>
              <w:rPr>
                <w:rFonts w:ascii="Arial"/>
                <w:sz w:val="21"/>
              </w:rPr>
            </w:pPr>
          </w:p>
        </w:tc>
        <w:tc>
          <w:tcPr>
            <w:tcW w:w="1178" w:type="dxa"/>
            <w:tcBorders>
              <w:top w:val="single" w:color="000000" w:sz="2" w:space="0"/>
              <w:bottom w:val="single" w:color="000000" w:sz="2" w:space="0"/>
            </w:tcBorders>
            <w:vAlign w:val="top"/>
          </w:tcPr>
          <w:p>
            <w:pPr>
              <w:spacing w:before="75"/>
              <w:ind w:left="279" w:right="172" w:hanging="99"/>
              <w:rPr>
                <w:rFonts w:ascii="宋体" w:hAnsi="宋体" w:eastAsia="宋体" w:cs="宋体"/>
                <w:sz w:val="20"/>
                <w:szCs w:val="20"/>
              </w:rPr>
            </w:pPr>
            <w:r>
              <w:rPr>
                <w:rFonts w:ascii="宋体" w:hAnsi="宋体" w:eastAsia="宋体" w:cs="宋体"/>
                <w:spacing w:val="3"/>
                <w:sz w:val="20"/>
                <w:szCs w:val="20"/>
              </w:rPr>
              <w:t>提交报告</w:t>
            </w:r>
            <w:r>
              <w:rPr>
                <w:rFonts w:ascii="宋体" w:hAnsi="宋体" w:eastAsia="宋体" w:cs="宋体"/>
                <w:spacing w:val="2"/>
                <w:sz w:val="20"/>
                <w:szCs w:val="20"/>
              </w:rPr>
              <w:t xml:space="preserve"> </w:t>
            </w:r>
            <w:r>
              <w:rPr>
                <w:rFonts w:ascii="宋体" w:hAnsi="宋体" w:eastAsia="宋体" w:cs="宋体"/>
                <w:spacing w:val="8"/>
                <w:sz w:val="20"/>
                <w:szCs w:val="20"/>
              </w:rPr>
              <w:t>(10分)</w:t>
            </w:r>
          </w:p>
        </w:tc>
        <w:tc>
          <w:tcPr>
            <w:tcW w:w="7997" w:type="dxa"/>
            <w:gridSpan w:val="2"/>
            <w:tcBorders>
              <w:top w:val="single" w:color="000000" w:sz="2" w:space="0"/>
              <w:bottom w:val="single" w:color="000000" w:sz="2" w:space="0"/>
            </w:tcBorders>
            <w:vAlign w:val="top"/>
          </w:tcPr>
          <w:p>
            <w:pPr>
              <w:spacing w:before="203" w:line="216" w:lineRule="auto"/>
              <w:ind w:firstLine="133"/>
              <w:rPr>
                <w:rFonts w:ascii="宋体" w:hAnsi="宋体" w:eastAsia="宋体" w:cs="宋体"/>
                <w:sz w:val="20"/>
                <w:szCs w:val="20"/>
              </w:rPr>
            </w:pPr>
            <w:r>
              <w:rPr>
                <w:rFonts w:ascii="宋体" w:hAnsi="宋体" w:eastAsia="宋体" w:cs="宋体"/>
                <w:spacing w:val="9"/>
                <w:sz w:val="20"/>
                <w:szCs w:val="20"/>
              </w:rPr>
              <w:t>按时向省财政厅报送报告的得10分;每推迟一个工作日报送报告的扣1分,最多扣10分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744" w:type="dxa"/>
            <w:vMerge w:val="restart"/>
            <w:tcBorders>
              <w:top w:val="single" w:color="000000" w:sz="2" w:space="0"/>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65" w:line="278" w:lineRule="exact"/>
              <w:ind w:firstLine="164"/>
              <w:rPr>
                <w:rFonts w:ascii="宋体" w:hAnsi="宋体" w:eastAsia="宋体" w:cs="宋体"/>
                <w:sz w:val="20"/>
                <w:szCs w:val="20"/>
              </w:rPr>
            </w:pPr>
            <w:r>
              <w:rPr>
                <w:rFonts w:ascii="宋体" w:hAnsi="宋体" w:eastAsia="宋体" w:cs="宋体"/>
                <w:spacing w:val="-20"/>
                <w:w w:val="99"/>
                <w:position w:val="5"/>
                <w:sz w:val="20"/>
                <w:szCs w:val="20"/>
              </w:rPr>
              <w:t>自</w:t>
            </w:r>
            <w:r>
              <w:rPr>
                <w:rFonts w:ascii="宋体" w:hAnsi="宋体" w:eastAsia="宋体" w:cs="宋体"/>
                <w:spacing w:val="-42"/>
                <w:position w:val="5"/>
                <w:sz w:val="20"/>
                <w:szCs w:val="20"/>
              </w:rPr>
              <w:t xml:space="preserve"> </w:t>
            </w:r>
            <w:r>
              <w:rPr>
                <w:rFonts w:ascii="宋体" w:hAnsi="宋体" w:eastAsia="宋体" w:cs="宋体"/>
                <w:spacing w:val="-20"/>
                <w:w w:val="99"/>
                <w:position w:val="5"/>
                <w:sz w:val="20"/>
                <w:szCs w:val="20"/>
              </w:rPr>
              <w:t>评</w:t>
            </w:r>
          </w:p>
          <w:p>
            <w:pPr>
              <w:spacing w:line="217" w:lineRule="auto"/>
              <w:ind w:firstLine="164"/>
              <w:rPr>
                <w:rFonts w:ascii="宋体" w:hAnsi="宋体" w:eastAsia="宋体" w:cs="宋体"/>
                <w:sz w:val="20"/>
                <w:szCs w:val="20"/>
              </w:rPr>
            </w:pPr>
            <w:r>
              <w:rPr>
                <w:rFonts w:ascii="宋体" w:hAnsi="宋体" w:eastAsia="宋体" w:cs="宋体"/>
                <w:spacing w:val="7"/>
                <w:sz w:val="20"/>
                <w:szCs w:val="20"/>
              </w:rPr>
              <w:t>报告</w:t>
            </w:r>
          </w:p>
          <w:p>
            <w:pPr>
              <w:spacing w:line="329" w:lineRule="auto"/>
              <w:rPr>
                <w:rFonts w:ascii="Arial"/>
                <w:sz w:val="21"/>
              </w:rPr>
            </w:pPr>
          </w:p>
          <w:p>
            <w:pPr>
              <w:spacing w:before="65" w:line="220" w:lineRule="auto"/>
              <w:ind w:firstLine="164"/>
              <w:rPr>
                <w:rFonts w:ascii="宋体" w:hAnsi="宋体" w:eastAsia="宋体" w:cs="宋体"/>
                <w:sz w:val="20"/>
                <w:szCs w:val="20"/>
              </w:rPr>
            </w:pPr>
            <w:r>
              <w:rPr>
                <w:rFonts w:ascii="宋体" w:hAnsi="宋体" w:eastAsia="宋体" w:cs="宋体"/>
                <w:spacing w:val="2"/>
                <w:sz w:val="20"/>
                <w:szCs w:val="20"/>
              </w:rPr>
              <w:t>70分</w:t>
            </w:r>
          </w:p>
        </w:tc>
        <w:tc>
          <w:tcPr>
            <w:tcW w:w="1178" w:type="dxa"/>
            <w:tcBorders>
              <w:top w:val="single" w:color="000000" w:sz="2" w:space="0"/>
              <w:bottom w:val="single" w:color="000000" w:sz="2" w:space="0"/>
            </w:tcBorders>
            <w:vAlign w:val="top"/>
          </w:tcPr>
          <w:p>
            <w:pPr>
              <w:spacing w:before="156" w:line="280" w:lineRule="exact"/>
              <w:ind w:firstLine="280"/>
              <w:rPr>
                <w:rFonts w:ascii="宋体" w:hAnsi="宋体" w:eastAsia="宋体" w:cs="宋体"/>
                <w:sz w:val="20"/>
                <w:szCs w:val="20"/>
              </w:rPr>
            </w:pPr>
            <w:r>
              <w:rPr>
                <w:rFonts w:ascii="宋体" w:hAnsi="宋体" w:eastAsia="宋体" w:cs="宋体"/>
                <w:spacing w:val="-3"/>
                <w:position w:val="5"/>
                <w:sz w:val="20"/>
                <w:szCs w:val="20"/>
              </w:rPr>
              <w:t>完整性</w:t>
            </w:r>
          </w:p>
          <w:p>
            <w:pPr>
              <w:spacing w:line="220" w:lineRule="auto"/>
              <w:ind w:firstLine="280"/>
              <w:rPr>
                <w:rFonts w:ascii="宋体" w:hAnsi="宋体" w:eastAsia="宋体" w:cs="宋体"/>
                <w:sz w:val="20"/>
                <w:szCs w:val="20"/>
              </w:rPr>
            </w:pPr>
            <w:r>
              <w:rPr>
                <w:rFonts w:ascii="宋体" w:hAnsi="宋体" w:eastAsia="宋体" w:cs="宋体"/>
                <w:spacing w:val="8"/>
                <w:sz w:val="20"/>
                <w:szCs w:val="20"/>
              </w:rPr>
              <w:t>(15分)</w:t>
            </w:r>
          </w:p>
        </w:tc>
        <w:tc>
          <w:tcPr>
            <w:tcW w:w="7997" w:type="dxa"/>
            <w:gridSpan w:val="2"/>
            <w:tcBorders>
              <w:top w:val="single" w:color="000000" w:sz="2" w:space="0"/>
              <w:bottom w:val="single" w:color="000000" w:sz="2" w:space="0"/>
            </w:tcBorders>
            <w:vAlign w:val="top"/>
          </w:tcPr>
          <w:p>
            <w:pPr>
              <w:spacing w:before="143" w:line="216" w:lineRule="auto"/>
              <w:ind w:firstLine="133"/>
              <w:rPr>
                <w:rFonts w:ascii="宋体" w:hAnsi="宋体" w:eastAsia="宋体" w:cs="宋体"/>
                <w:sz w:val="20"/>
                <w:szCs w:val="20"/>
              </w:rPr>
            </w:pPr>
            <w:r>
              <w:rPr>
                <w:rFonts w:ascii="宋体" w:hAnsi="宋体" w:eastAsia="宋体" w:cs="宋体"/>
                <w:spacing w:val="10"/>
                <w:sz w:val="20"/>
                <w:szCs w:val="20"/>
              </w:rPr>
              <w:t>1、绩效自评报告正文部分内容齐全的,得8分;否则每少一个部分扣2分,最多扣8分。</w:t>
            </w:r>
          </w:p>
          <w:p>
            <w:pPr>
              <w:spacing w:before="46" w:line="216" w:lineRule="auto"/>
              <w:ind w:firstLine="133"/>
              <w:rPr>
                <w:rFonts w:ascii="宋体" w:hAnsi="宋体" w:eastAsia="宋体" w:cs="宋体"/>
                <w:sz w:val="20"/>
                <w:szCs w:val="20"/>
              </w:rPr>
            </w:pPr>
            <w:r>
              <w:rPr>
                <w:rFonts w:ascii="宋体" w:hAnsi="宋体" w:eastAsia="宋体" w:cs="宋体"/>
                <w:spacing w:val="11"/>
                <w:sz w:val="20"/>
                <w:szCs w:val="20"/>
              </w:rPr>
              <w:t>2、绩效自评报告附件部分内容齐全的,得7分;否则每少一个部分扣2分,最多扣7分。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4" w:hRule="atLeast"/>
        </w:trPr>
        <w:tc>
          <w:tcPr>
            <w:tcW w:w="744" w:type="dxa"/>
            <w:vMerge w:val="continue"/>
            <w:tcBorders>
              <w:top w:val="nil"/>
              <w:bottom w:val="nil"/>
            </w:tcBorders>
            <w:vAlign w:val="top"/>
          </w:tcPr>
          <w:p>
            <w:pPr>
              <w:rPr>
                <w:rFonts w:ascii="Arial"/>
                <w:sz w:val="21"/>
              </w:rPr>
            </w:pPr>
          </w:p>
        </w:tc>
        <w:tc>
          <w:tcPr>
            <w:tcW w:w="1178" w:type="dxa"/>
            <w:tcBorders>
              <w:top w:val="single" w:color="000000" w:sz="2" w:space="0"/>
              <w:bottom w:val="single" w:color="000000" w:sz="2" w:space="0"/>
            </w:tcBorders>
            <w:vAlign w:val="top"/>
          </w:tcPr>
          <w:p>
            <w:pPr>
              <w:spacing w:line="313" w:lineRule="auto"/>
              <w:rPr>
                <w:rFonts w:ascii="Arial"/>
                <w:sz w:val="21"/>
              </w:rPr>
            </w:pPr>
          </w:p>
          <w:p>
            <w:pPr>
              <w:spacing w:line="314" w:lineRule="auto"/>
              <w:rPr>
                <w:rFonts w:ascii="Arial"/>
                <w:sz w:val="21"/>
              </w:rPr>
            </w:pPr>
          </w:p>
          <w:p>
            <w:pPr>
              <w:spacing w:before="65" w:line="310" w:lineRule="exact"/>
              <w:ind w:firstLine="381"/>
              <w:rPr>
                <w:rFonts w:ascii="宋体" w:hAnsi="宋体" w:eastAsia="宋体" w:cs="宋体"/>
                <w:sz w:val="20"/>
                <w:szCs w:val="20"/>
              </w:rPr>
            </w:pPr>
            <w:r>
              <w:rPr>
                <w:rFonts w:ascii="宋体" w:hAnsi="宋体" w:eastAsia="宋体" w:cs="宋体"/>
                <w:spacing w:val="-3"/>
                <w:position w:val="8"/>
                <w:sz w:val="20"/>
                <w:szCs w:val="20"/>
              </w:rPr>
              <w:t>绩效</w:t>
            </w:r>
          </w:p>
          <w:p>
            <w:pPr>
              <w:spacing w:line="220" w:lineRule="auto"/>
              <w:ind w:firstLine="280"/>
              <w:rPr>
                <w:rFonts w:ascii="宋体" w:hAnsi="宋体" w:eastAsia="宋体" w:cs="宋体"/>
                <w:sz w:val="20"/>
                <w:szCs w:val="20"/>
              </w:rPr>
            </w:pPr>
            <w:r>
              <w:rPr>
                <w:rFonts w:ascii="宋体" w:hAnsi="宋体" w:eastAsia="宋体" w:cs="宋体"/>
                <w:spacing w:val="3"/>
                <w:sz w:val="20"/>
                <w:szCs w:val="20"/>
              </w:rPr>
              <w:t>自评表</w:t>
            </w:r>
          </w:p>
          <w:p>
            <w:pPr>
              <w:spacing w:before="61" w:line="220" w:lineRule="auto"/>
              <w:ind w:firstLine="280"/>
              <w:rPr>
                <w:rFonts w:ascii="宋体" w:hAnsi="宋体" w:eastAsia="宋体" w:cs="宋体"/>
                <w:sz w:val="20"/>
                <w:szCs w:val="20"/>
              </w:rPr>
            </w:pPr>
            <w:r>
              <w:rPr>
                <w:rFonts w:ascii="宋体" w:hAnsi="宋体" w:eastAsia="宋体" w:cs="宋体"/>
                <w:spacing w:val="8"/>
                <w:sz w:val="20"/>
                <w:szCs w:val="20"/>
              </w:rPr>
              <w:t>(20分)</w:t>
            </w:r>
          </w:p>
        </w:tc>
        <w:tc>
          <w:tcPr>
            <w:tcW w:w="7997" w:type="dxa"/>
            <w:gridSpan w:val="2"/>
            <w:tcBorders>
              <w:top w:val="single" w:color="000000" w:sz="2" w:space="0"/>
              <w:bottom w:val="single" w:color="000000" w:sz="2" w:space="0"/>
            </w:tcBorders>
            <w:vAlign w:val="top"/>
          </w:tcPr>
          <w:p>
            <w:pPr>
              <w:spacing w:before="82" w:line="236" w:lineRule="auto"/>
              <w:ind w:left="133" w:right="4"/>
              <w:rPr>
                <w:rFonts w:ascii="宋体" w:hAnsi="宋体" w:eastAsia="宋体" w:cs="宋体"/>
                <w:sz w:val="20"/>
                <w:szCs w:val="20"/>
              </w:rPr>
            </w:pPr>
            <w:r>
              <w:rPr>
                <w:rFonts w:ascii="宋体" w:hAnsi="宋体" w:eastAsia="宋体" w:cs="宋体"/>
                <w:spacing w:val="-2"/>
                <w:sz w:val="20"/>
                <w:szCs w:val="20"/>
              </w:rPr>
              <w:t>1、部门整体支出和项目支出绩效指标反映产出、效益、服务对象满意度方面的指标和预算</w:t>
            </w:r>
            <w:r>
              <w:rPr>
                <w:rFonts w:ascii="宋体" w:hAnsi="宋体" w:eastAsia="宋体" w:cs="宋体"/>
                <w:spacing w:val="29"/>
                <w:sz w:val="20"/>
                <w:szCs w:val="20"/>
              </w:rPr>
              <w:t xml:space="preserve"> </w:t>
            </w:r>
            <w:r>
              <w:rPr>
                <w:rFonts w:ascii="宋体" w:hAnsi="宋体" w:eastAsia="宋体" w:cs="宋体"/>
                <w:spacing w:val="6"/>
                <w:sz w:val="20"/>
                <w:szCs w:val="20"/>
              </w:rPr>
              <w:t>执行率的权重符合《湖南省省级预算部门绩效自评操作规程》第八条要求的,得5分,否</w:t>
            </w:r>
            <w:r>
              <w:rPr>
                <w:rFonts w:ascii="宋体" w:hAnsi="宋体" w:eastAsia="宋体" w:cs="宋体"/>
                <w:sz w:val="20"/>
                <w:szCs w:val="20"/>
              </w:rPr>
              <w:t xml:space="preserve">  </w:t>
            </w:r>
            <w:r>
              <w:rPr>
                <w:rFonts w:ascii="宋体" w:hAnsi="宋体" w:eastAsia="宋体" w:cs="宋体"/>
                <w:spacing w:val="3"/>
                <w:sz w:val="20"/>
                <w:szCs w:val="20"/>
              </w:rPr>
              <w:t>则按比例扣除相应的分数。</w:t>
            </w:r>
            <w:r>
              <w:rPr>
                <w:rFonts w:ascii="宋体" w:hAnsi="宋体" w:eastAsia="宋体" w:cs="宋体"/>
                <w:sz w:val="20"/>
                <w:szCs w:val="20"/>
              </w:rPr>
              <w:t xml:space="preserve">                                                       </w:t>
            </w:r>
            <w:r>
              <w:rPr>
                <w:rFonts w:ascii="宋体" w:hAnsi="宋体" w:eastAsia="宋体" w:cs="宋体"/>
                <w:spacing w:val="5"/>
                <w:sz w:val="20"/>
                <w:szCs w:val="20"/>
              </w:rPr>
              <w:t>2、部门整体支出和项目支出绩效指标全部细化到三级指标的,得5分;部分细化的,酌情</w:t>
            </w:r>
            <w:r>
              <w:rPr>
                <w:rFonts w:ascii="宋体" w:hAnsi="宋体" w:eastAsia="宋体" w:cs="宋体"/>
                <w:spacing w:val="14"/>
                <w:sz w:val="20"/>
                <w:szCs w:val="20"/>
              </w:rPr>
              <w:t xml:space="preserve">  </w:t>
            </w:r>
            <w:r>
              <w:rPr>
                <w:rFonts w:ascii="宋体" w:hAnsi="宋体" w:eastAsia="宋体" w:cs="宋体"/>
                <w:spacing w:val="6"/>
                <w:sz w:val="20"/>
                <w:szCs w:val="20"/>
              </w:rPr>
              <w:t>扣分;没有细化的,不得分。</w:t>
            </w:r>
            <w:r>
              <w:rPr>
                <w:rFonts w:ascii="宋体" w:hAnsi="宋体" w:eastAsia="宋体" w:cs="宋体"/>
                <w:sz w:val="20"/>
                <w:szCs w:val="20"/>
              </w:rPr>
              <w:t xml:space="preserve">                                                      </w:t>
            </w:r>
            <w:r>
              <w:rPr>
                <w:rFonts w:ascii="宋体" w:hAnsi="宋体" w:eastAsia="宋体" w:cs="宋体"/>
                <w:spacing w:val="-1"/>
                <w:sz w:val="20"/>
                <w:szCs w:val="20"/>
              </w:rPr>
              <w:t>3、部门整体支出和项目支出三级绩效指标内涵明确、具体、可衡量的得5分;突出核心指</w:t>
            </w:r>
            <w:r>
              <w:rPr>
                <w:rFonts w:ascii="宋体" w:hAnsi="宋体" w:eastAsia="宋体" w:cs="宋体"/>
                <w:spacing w:val="14"/>
                <w:sz w:val="20"/>
                <w:szCs w:val="20"/>
              </w:rPr>
              <w:t xml:space="preserve">  </w:t>
            </w:r>
            <w:r>
              <w:rPr>
                <w:rFonts w:ascii="宋体" w:hAnsi="宋体" w:eastAsia="宋体" w:cs="宋体"/>
                <w:spacing w:val="8"/>
                <w:sz w:val="20"/>
                <w:szCs w:val="20"/>
              </w:rPr>
              <w:t xml:space="preserve">标,精简实用的得3分;指标与部门整体支出和项目支出密切相关,全面反映产出和效益  </w:t>
            </w:r>
            <w:r>
              <w:rPr>
                <w:rFonts w:ascii="宋体" w:hAnsi="宋体" w:eastAsia="宋体" w:cs="宋体"/>
                <w:spacing w:val="11"/>
                <w:w w:val="103"/>
                <w:sz w:val="20"/>
                <w:szCs w:val="20"/>
              </w:rPr>
              <w:t>的得2分;否则,每项酌情扣分,最多扣10分。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trPr>
        <w:tc>
          <w:tcPr>
            <w:tcW w:w="744" w:type="dxa"/>
            <w:vMerge w:val="continue"/>
            <w:tcBorders>
              <w:top w:val="nil"/>
              <w:bottom w:val="nil"/>
            </w:tcBorders>
            <w:vAlign w:val="top"/>
          </w:tcPr>
          <w:p>
            <w:pPr>
              <w:rPr>
                <w:rFonts w:ascii="Arial"/>
                <w:sz w:val="21"/>
              </w:rPr>
            </w:pPr>
          </w:p>
        </w:tc>
        <w:tc>
          <w:tcPr>
            <w:tcW w:w="1178" w:type="dxa"/>
            <w:tcBorders>
              <w:top w:val="single" w:color="000000" w:sz="2" w:space="0"/>
              <w:bottom w:val="single" w:color="000000" w:sz="2" w:space="0"/>
            </w:tcBorders>
            <w:vAlign w:val="top"/>
          </w:tcPr>
          <w:p>
            <w:pPr>
              <w:spacing w:line="330" w:lineRule="auto"/>
              <w:rPr>
                <w:rFonts w:ascii="Arial"/>
                <w:sz w:val="21"/>
              </w:rPr>
            </w:pPr>
          </w:p>
          <w:p>
            <w:pPr>
              <w:spacing w:before="65" w:line="270" w:lineRule="exact"/>
              <w:ind w:firstLine="280"/>
              <w:rPr>
                <w:rFonts w:ascii="宋体" w:hAnsi="宋体" w:eastAsia="宋体" w:cs="宋体"/>
                <w:sz w:val="20"/>
                <w:szCs w:val="20"/>
              </w:rPr>
            </w:pPr>
            <w:r>
              <w:rPr>
                <w:rFonts w:ascii="宋体" w:hAnsi="宋体" w:eastAsia="宋体" w:cs="宋体"/>
                <w:spacing w:val="7"/>
                <w:position w:val="4"/>
                <w:sz w:val="20"/>
                <w:szCs w:val="20"/>
              </w:rPr>
              <w:t>反映问</w:t>
            </w:r>
          </w:p>
          <w:p>
            <w:pPr>
              <w:spacing w:line="220" w:lineRule="auto"/>
              <w:ind w:firstLine="280"/>
              <w:rPr>
                <w:rFonts w:ascii="宋体" w:hAnsi="宋体" w:eastAsia="宋体" w:cs="宋体"/>
                <w:sz w:val="20"/>
                <w:szCs w:val="20"/>
              </w:rPr>
            </w:pPr>
            <w:r>
              <w:rPr>
                <w:rFonts w:ascii="宋体" w:hAnsi="宋体" w:eastAsia="宋体" w:cs="宋体"/>
                <w:spacing w:val="-2"/>
                <w:sz w:val="20"/>
                <w:szCs w:val="20"/>
              </w:rPr>
              <w:t>题情况</w:t>
            </w:r>
          </w:p>
          <w:p>
            <w:pPr>
              <w:spacing w:before="51" w:line="220" w:lineRule="auto"/>
              <w:ind w:firstLine="280"/>
              <w:rPr>
                <w:rFonts w:ascii="宋体" w:hAnsi="宋体" w:eastAsia="宋体" w:cs="宋体"/>
                <w:sz w:val="20"/>
                <w:szCs w:val="20"/>
              </w:rPr>
            </w:pPr>
            <w:r>
              <w:rPr>
                <w:rFonts w:ascii="宋体" w:hAnsi="宋体" w:eastAsia="宋体" w:cs="宋体"/>
                <w:spacing w:val="8"/>
                <w:sz w:val="20"/>
                <w:szCs w:val="20"/>
              </w:rPr>
              <w:t>(20分)</w:t>
            </w:r>
          </w:p>
        </w:tc>
        <w:tc>
          <w:tcPr>
            <w:tcW w:w="7997" w:type="dxa"/>
            <w:gridSpan w:val="2"/>
            <w:tcBorders>
              <w:top w:val="single" w:color="000000" w:sz="2" w:space="0"/>
              <w:bottom w:val="single" w:color="000000" w:sz="2" w:space="0"/>
            </w:tcBorders>
            <w:vAlign w:val="top"/>
          </w:tcPr>
          <w:p>
            <w:pPr>
              <w:spacing w:before="124" w:line="248" w:lineRule="auto"/>
              <w:ind w:left="133" w:right="125"/>
              <w:rPr>
                <w:rFonts w:ascii="宋体" w:hAnsi="宋体" w:eastAsia="宋体" w:cs="宋体"/>
                <w:sz w:val="20"/>
                <w:szCs w:val="20"/>
              </w:rPr>
            </w:pPr>
            <w:r>
              <w:rPr>
                <w:rFonts w:ascii="宋体" w:hAnsi="宋体" w:eastAsia="宋体" w:cs="宋体"/>
                <w:spacing w:val="8"/>
                <w:sz w:val="20"/>
                <w:szCs w:val="20"/>
              </w:rPr>
              <w:t>从预算和预算绩效管理,部门履职效能,资金分配、使用和管理,资产和财务管理,政府</w:t>
            </w:r>
            <w:r>
              <w:rPr>
                <w:rFonts w:ascii="宋体" w:hAnsi="宋体" w:eastAsia="宋体" w:cs="宋体"/>
                <w:spacing w:val="16"/>
                <w:sz w:val="20"/>
                <w:szCs w:val="20"/>
              </w:rPr>
              <w:t xml:space="preserve"> </w:t>
            </w:r>
            <w:r>
              <w:rPr>
                <w:rFonts w:ascii="宋体" w:hAnsi="宋体" w:eastAsia="宋体" w:cs="宋体"/>
                <w:spacing w:val="1"/>
                <w:sz w:val="20"/>
                <w:szCs w:val="20"/>
              </w:rPr>
              <w:t>采购等方面归纳问题、分析原因全面的,得20分;反映问题、分析原因较全面的,得16-18</w:t>
            </w:r>
            <w:r>
              <w:rPr>
                <w:rFonts w:ascii="宋体" w:hAnsi="宋体" w:eastAsia="宋体" w:cs="宋体"/>
                <w:spacing w:val="39"/>
                <w:sz w:val="20"/>
                <w:szCs w:val="20"/>
              </w:rPr>
              <w:t xml:space="preserve"> </w:t>
            </w:r>
            <w:r>
              <w:rPr>
                <w:rFonts w:ascii="宋体" w:hAnsi="宋体" w:eastAsia="宋体" w:cs="宋体"/>
                <w:spacing w:val="10"/>
                <w:w w:val="102"/>
                <w:sz w:val="20"/>
                <w:szCs w:val="20"/>
              </w:rPr>
              <w:t>分;反映问题、分析原因不全面的,得13-15分;问题未归纳且过于简单的,得10-12</w:t>
            </w:r>
            <w:r>
              <w:rPr>
                <w:rFonts w:ascii="宋体" w:hAnsi="宋体" w:eastAsia="宋体" w:cs="宋体"/>
                <w:spacing w:val="16"/>
                <w:sz w:val="20"/>
                <w:szCs w:val="20"/>
              </w:rPr>
              <w:t xml:space="preserve">  </w:t>
            </w:r>
            <w:r>
              <w:rPr>
                <w:rFonts w:ascii="宋体" w:hAnsi="宋体" w:eastAsia="宋体" w:cs="宋体"/>
                <w:spacing w:val="8"/>
                <w:sz w:val="20"/>
                <w:szCs w:val="20"/>
              </w:rPr>
              <w:t>分;只提出资金不足问题的不得分;其他情况酌情扣分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744" w:type="dxa"/>
            <w:vMerge w:val="continue"/>
            <w:tcBorders>
              <w:top w:val="nil"/>
              <w:bottom w:val="single" w:color="000000" w:sz="2" w:space="0"/>
            </w:tcBorders>
            <w:vAlign w:val="top"/>
          </w:tcPr>
          <w:p>
            <w:pPr>
              <w:rPr>
                <w:rFonts w:ascii="Arial"/>
                <w:sz w:val="21"/>
              </w:rPr>
            </w:pPr>
          </w:p>
        </w:tc>
        <w:tc>
          <w:tcPr>
            <w:tcW w:w="1178" w:type="dxa"/>
            <w:tcBorders>
              <w:top w:val="single" w:color="000000" w:sz="2" w:space="0"/>
              <w:bottom w:val="single" w:color="000000" w:sz="2" w:space="0"/>
            </w:tcBorders>
            <w:vAlign w:val="top"/>
          </w:tcPr>
          <w:p>
            <w:pPr>
              <w:spacing w:before="99" w:line="247" w:lineRule="auto"/>
              <w:ind w:left="279" w:right="197" w:hanging="99"/>
              <w:rPr>
                <w:rFonts w:ascii="宋体" w:hAnsi="宋体" w:eastAsia="宋体" w:cs="宋体"/>
                <w:sz w:val="20"/>
                <w:szCs w:val="20"/>
              </w:rPr>
            </w:pPr>
            <w:r>
              <w:rPr>
                <w:rFonts w:ascii="宋体" w:hAnsi="宋体" w:eastAsia="宋体" w:cs="宋体"/>
                <w:spacing w:val="-3"/>
                <w:sz w:val="20"/>
                <w:szCs w:val="20"/>
              </w:rPr>
              <w:t>建议情况</w:t>
            </w:r>
            <w:r>
              <w:rPr>
                <w:rFonts w:ascii="宋体" w:hAnsi="宋体" w:eastAsia="宋体" w:cs="宋体"/>
                <w:spacing w:val="1"/>
                <w:sz w:val="20"/>
                <w:szCs w:val="20"/>
              </w:rPr>
              <w:t xml:space="preserve"> </w:t>
            </w:r>
            <w:r>
              <w:rPr>
                <w:rFonts w:ascii="宋体" w:hAnsi="宋体" w:eastAsia="宋体" w:cs="宋体"/>
                <w:spacing w:val="8"/>
                <w:sz w:val="20"/>
                <w:szCs w:val="20"/>
              </w:rPr>
              <w:t>(15分)</w:t>
            </w:r>
          </w:p>
        </w:tc>
        <w:tc>
          <w:tcPr>
            <w:tcW w:w="7997" w:type="dxa"/>
            <w:gridSpan w:val="2"/>
            <w:tcBorders>
              <w:top w:val="single" w:color="000000" w:sz="2" w:space="0"/>
              <w:bottom w:val="single" w:color="000000" w:sz="2" w:space="0"/>
            </w:tcBorders>
            <w:vAlign w:val="top"/>
          </w:tcPr>
          <w:p>
            <w:pPr>
              <w:spacing w:before="95" w:line="249" w:lineRule="auto"/>
              <w:ind w:left="133" w:right="165"/>
              <w:rPr>
                <w:rFonts w:ascii="宋体" w:hAnsi="宋体" w:eastAsia="宋体" w:cs="宋体"/>
                <w:sz w:val="20"/>
                <w:szCs w:val="20"/>
              </w:rPr>
            </w:pPr>
            <w:r>
              <w:rPr>
                <w:rFonts w:ascii="宋体" w:hAnsi="宋体" w:eastAsia="宋体" w:cs="宋体"/>
                <w:spacing w:val="11"/>
                <w:w w:val="101"/>
                <w:sz w:val="20"/>
                <w:szCs w:val="20"/>
              </w:rPr>
              <w:t>建议与问题对应且全面的得15分,建议比较全面的得12-14分,建议不全面的得9-11</w:t>
            </w:r>
            <w:r>
              <w:rPr>
                <w:rFonts w:ascii="宋体" w:hAnsi="宋体" w:eastAsia="宋体" w:cs="宋体"/>
                <w:spacing w:val="7"/>
                <w:sz w:val="20"/>
                <w:szCs w:val="20"/>
              </w:rPr>
              <w:t xml:space="preserve"> </w:t>
            </w:r>
            <w:r>
              <w:rPr>
                <w:rFonts w:ascii="宋体" w:hAnsi="宋体" w:eastAsia="宋体" w:cs="宋体"/>
                <w:spacing w:val="10"/>
                <w:w w:val="101"/>
                <w:sz w:val="20"/>
                <w:szCs w:val="20"/>
              </w:rPr>
              <w:t>分,建议过于简单的得6-8分,只提出加大资金投入建议的不得分;其他情况酌情扣分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44" w:type="dxa"/>
            <w:tcBorders>
              <w:top w:val="single" w:color="000000" w:sz="2" w:space="0"/>
              <w:bottom w:val="single" w:color="000000" w:sz="2" w:space="0"/>
            </w:tcBorders>
            <w:vAlign w:val="top"/>
          </w:tcPr>
          <w:p>
            <w:pPr>
              <w:spacing w:before="129" w:line="221" w:lineRule="auto"/>
              <w:ind w:firstLine="164"/>
              <w:rPr>
                <w:rFonts w:ascii="宋体" w:hAnsi="宋体" w:eastAsia="宋体" w:cs="宋体"/>
                <w:sz w:val="20"/>
                <w:szCs w:val="20"/>
              </w:rPr>
            </w:pPr>
            <w:r>
              <w:rPr>
                <w:rFonts w:ascii="宋体" w:hAnsi="宋体" w:eastAsia="宋体" w:cs="宋体"/>
                <w:spacing w:val="-3"/>
                <w:sz w:val="20"/>
                <w:szCs w:val="20"/>
              </w:rPr>
              <w:t>合计</w:t>
            </w:r>
          </w:p>
        </w:tc>
        <w:tc>
          <w:tcPr>
            <w:tcW w:w="1178" w:type="dxa"/>
            <w:tcBorders>
              <w:top w:val="single" w:color="000000" w:sz="2" w:space="0"/>
              <w:bottom w:val="single" w:color="000000" w:sz="2" w:space="0"/>
            </w:tcBorders>
            <w:vAlign w:val="top"/>
          </w:tcPr>
          <w:p>
            <w:pPr>
              <w:spacing w:before="128" w:line="220" w:lineRule="auto"/>
              <w:ind w:firstLine="331"/>
              <w:rPr>
                <w:rFonts w:ascii="宋体" w:hAnsi="宋体" w:eastAsia="宋体" w:cs="宋体"/>
                <w:sz w:val="20"/>
                <w:szCs w:val="20"/>
              </w:rPr>
            </w:pPr>
            <w:r>
              <w:rPr>
                <w:rFonts w:ascii="宋体" w:hAnsi="宋体" w:eastAsia="宋体" w:cs="宋体"/>
                <w:spacing w:val="2"/>
                <w:sz w:val="20"/>
                <w:szCs w:val="20"/>
              </w:rPr>
              <w:t>100分</w:t>
            </w:r>
          </w:p>
        </w:tc>
        <w:tc>
          <w:tcPr>
            <w:tcW w:w="7997" w:type="dxa"/>
            <w:gridSpan w:val="2"/>
            <w:tcBorders>
              <w:top w:val="single" w:color="000000" w:sz="2" w:space="0"/>
              <w:bottom w:val="single" w:color="000000" w:sz="2" w:space="0"/>
            </w:tcBorders>
            <w:vAlign w:val="top"/>
          </w:tcPr>
          <w:p>
            <w:pPr>
              <w:rPr>
                <w:rFonts w:hint="default" w:ascii="Arial" w:eastAsia="宋体"/>
                <w:sz w:val="21"/>
                <w:lang w:val="en-US" w:eastAsia="zh-CN"/>
              </w:rPr>
            </w:pPr>
            <w:r>
              <w:rPr>
                <w:rFonts w:hint="eastAsia" w:eastAsia="宋体"/>
                <w:sz w:val="21"/>
                <w:lang w:val="en-US" w:eastAsia="zh-CN"/>
              </w:rPr>
              <w:t xml:space="preserve">                           96</w:t>
            </w:r>
          </w:p>
        </w:tc>
      </w:tr>
    </w:tbl>
    <w:p>
      <w:pPr>
        <w:spacing w:line="285" w:lineRule="auto"/>
        <w:rPr>
          <w:rFonts w:ascii="Arial"/>
          <w:sz w:val="21"/>
        </w:rPr>
      </w:pPr>
    </w:p>
    <w:p>
      <w:pPr>
        <w:spacing w:line="286" w:lineRule="auto"/>
        <w:rPr>
          <w:rFonts w:ascii="Arial"/>
          <w:sz w:val="21"/>
        </w:rPr>
      </w:pPr>
    </w:p>
    <w:p>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sz w:val="32"/>
          <w:szCs w:val="32"/>
        </w:rPr>
      </w:pPr>
    </w:p>
    <w:p>
      <w:pPr>
        <w:spacing w:afterLines="50" w:line="600" w:lineRule="exact"/>
        <w:jc w:val="center"/>
        <w:rPr>
          <w:rFonts w:ascii="Times New Roman" w:hAnsi="Times New Roman" w:eastAsia="方正小标宋_GBK" w:cs="Times New Roman"/>
          <w:kern w:val="0"/>
          <w:sz w:val="36"/>
          <w:szCs w:val="36"/>
        </w:rPr>
      </w:pPr>
    </w:p>
    <w:p>
      <w:pPr>
        <w:spacing w:afterLines="50" w:line="600" w:lineRule="exact"/>
        <w:jc w:val="center"/>
        <w:rPr>
          <w:rFonts w:ascii="Times New Roman" w:hAnsi="Times New Roman" w:eastAsia="仿宋_GB2312" w:cs="Times New Roman"/>
          <w:kern w:val="0"/>
          <w:sz w:val="24"/>
          <w:szCs w:val="24"/>
        </w:rPr>
      </w:pPr>
      <w:r>
        <w:rPr>
          <w:rFonts w:ascii="Times New Roman" w:hAnsi="Times New Roman" w:eastAsia="方正小标宋_GBK" w:cs="Times New Roman"/>
          <w:kern w:val="0"/>
          <w:sz w:val="36"/>
          <w:szCs w:val="36"/>
        </w:rPr>
        <w:t>202</w:t>
      </w:r>
      <w:r>
        <w:rPr>
          <w:rFonts w:hint="eastAsia" w:ascii="Times New Roman" w:hAnsi="Times New Roman" w:eastAsia="方正小标宋_GBK" w:cs="Times New Roman"/>
          <w:kern w:val="0"/>
          <w:sz w:val="36"/>
          <w:szCs w:val="36"/>
          <w:lang w:val="en-US" w:eastAsia="zh-CN"/>
        </w:rPr>
        <w:t>1</w:t>
      </w:r>
      <w:r>
        <w:rPr>
          <w:rFonts w:ascii="Times New Roman" w:hAnsi="Times New Roman" w:eastAsia="方正小标宋_GBK" w:cs="Times New Roman"/>
          <w:kern w:val="0"/>
          <w:sz w:val="36"/>
          <w:szCs w:val="36"/>
        </w:rPr>
        <w:t>年度部门整体支出绩效评价基础数据表</w:t>
      </w:r>
    </w:p>
    <w:tbl>
      <w:tblPr>
        <w:tblStyle w:val="3"/>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财政供养人员情况（人）</w:t>
            </w:r>
          </w:p>
        </w:tc>
        <w:tc>
          <w:tcPr>
            <w:tcW w:w="203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编制数</w:t>
            </w: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202</w:t>
            </w:r>
            <w:r>
              <w:rPr>
                <w:rFonts w:hint="eastAsia" w:ascii="Times New Roman" w:hAnsi="Times New Roman" w:eastAsia="仿宋_GB2312" w:cs="Times New Roman"/>
                <w:b/>
                <w:bCs/>
                <w:kern w:val="0"/>
                <w:szCs w:val="21"/>
                <w:lang w:val="en-US" w:eastAsia="zh-CN"/>
              </w:rPr>
              <w:t>1</w:t>
            </w:r>
            <w:r>
              <w:rPr>
                <w:rFonts w:ascii="Times New Roman" w:hAnsi="Times New Roman" w:eastAsia="仿宋_GB2312" w:cs="Times New Roman"/>
                <w:b/>
                <w:bCs/>
                <w:kern w:val="0"/>
                <w:szCs w:val="21"/>
              </w:rPr>
              <w:t>年实际在职人数</w:t>
            </w:r>
          </w:p>
        </w:tc>
        <w:tc>
          <w:tcPr>
            <w:tcW w:w="183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控制率</w:t>
            </w:r>
          </w:p>
        </w:tc>
      </w:tr>
      <w:tr>
        <w:tblPrEx>
          <w:tblCellMar>
            <w:top w:w="0" w:type="dxa"/>
            <w:left w:w="108" w:type="dxa"/>
            <w:bottom w:w="0" w:type="dxa"/>
            <w:right w:w="108" w:type="dxa"/>
          </w:tblCellMar>
        </w:tblPrEx>
        <w:trPr>
          <w:trHeight w:val="397"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03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211</w:t>
            </w: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193</w:t>
            </w:r>
          </w:p>
        </w:tc>
        <w:tc>
          <w:tcPr>
            <w:tcW w:w="183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91.47%</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经费控制情况（万元）</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20</w:t>
            </w:r>
            <w:r>
              <w:rPr>
                <w:rFonts w:hint="eastAsia" w:ascii="Times New Roman" w:hAnsi="Times New Roman" w:eastAsia="仿宋_GB2312" w:cs="Times New Roman"/>
                <w:b/>
                <w:bCs/>
                <w:kern w:val="0"/>
                <w:szCs w:val="21"/>
                <w:lang w:val="en-US" w:eastAsia="zh-CN"/>
              </w:rPr>
              <w:t>20</w:t>
            </w:r>
            <w:r>
              <w:rPr>
                <w:rFonts w:ascii="Times New Roman" w:hAnsi="Times New Roman" w:eastAsia="仿宋_GB2312" w:cs="Times New Roman"/>
                <w:b/>
                <w:bCs/>
                <w:kern w:val="0"/>
                <w:szCs w:val="21"/>
              </w:rPr>
              <w:t>年决算数</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202</w:t>
            </w:r>
            <w:r>
              <w:rPr>
                <w:rFonts w:hint="eastAsia" w:ascii="Times New Roman" w:hAnsi="Times New Roman" w:eastAsia="仿宋_GB2312" w:cs="Times New Roman"/>
                <w:b/>
                <w:bCs/>
                <w:kern w:val="0"/>
                <w:szCs w:val="21"/>
                <w:lang w:val="en-US" w:eastAsia="zh-CN"/>
              </w:rPr>
              <w:t>1</w:t>
            </w:r>
            <w:r>
              <w:rPr>
                <w:rFonts w:ascii="Times New Roman" w:hAnsi="Times New Roman" w:eastAsia="仿宋_GB2312" w:cs="Times New Roman"/>
                <w:b/>
                <w:bCs/>
                <w:kern w:val="0"/>
                <w:szCs w:val="21"/>
              </w:rPr>
              <w:t>年预算数</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202</w:t>
            </w:r>
            <w:r>
              <w:rPr>
                <w:rFonts w:hint="eastAsia" w:ascii="Times New Roman" w:hAnsi="Times New Roman" w:eastAsia="仿宋_GB2312" w:cs="Times New Roman"/>
                <w:b/>
                <w:bCs/>
                <w:kern w:val="0"/>
                <w:szCs w:val="21"/>
                <w:lang w:val="en-US" w:eastAsia="zh-CN"/>
              </w:rPr>
              <w:t>1</w:t>
            </w:r>
            <w:r>
              <w:rPr>
                <w:rFonts w:ascii="Times New Roman" w:hAnsi="Times New Roman" w:eastAsia="仿宋_GB2312" w:cs="Times New Roman"/>
                <w:b/>
                <w:bCs/>
                <w:kern w:val="0"/>
                <w:szCs w:val="21"/>
              </w:rPr>
              <w:t>年决算数</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三公经费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22.86</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23</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21.60</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其中：公车购置</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17.98</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公车运行维护</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3.62</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2、出国经费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3、公务接待</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1.26</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项目支出：</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3252</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1</w:t>
            </w:r>
            <w:r>
              <w:rPr>
                <w:rFonts w:hint="eastAsia" w:ascii="Times New Roman" w:hAnsi="Times New Roman" w:eastAsia="仿宋_GB2312" w:cs="Times New Roman"/>
                <w:kern w:val="0"/>
                <w:szCs w:val="21"/>
              </w:rPr>
              <w:t>6</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1321.15</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3303.28</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1、业务工作经费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 xml:space="preserve">  </w:t>
            </w:r>
            <w:r>
              <w:rPr>
                <w:rFonts w:hint="eastAsia" w:ascii="Times New Roman" w:hAnsi="Times New Roman" w:eastAsia="仿宋_GB2312" w:cs="Times New Roman"/>
                <w:kern w:val="0"/>
                <w:szCs w:val="21"/>
              </w:rPr>
              <w:t>3252.16</w:t>
            </w:r>
            <w:r>
              <w:rPr>
                <w:rFonts w:ascii="Times New Roman" w:hAnsi="Times New Roman" w:eastAsia="仿宋_GB2312" w:cs="Times New Roman"/>
                <w:kern w:val="0"/>
                <w:szCs w:val="21"/>
              </w:rPr>
              <w:t>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1321.15</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3303.28</w:t>
            </w:r>
          </w:p>
        </w:tc>
      </w:tr>
      <w:tr>
        <w:tblPrEx>
          <w:tblCellMar>
            <w:top w:w="0" w:type="dxa"/>
            <w:left w:w="108" w:type="dxa"/>
            <w:bottom w:w="0" w:type="dxa"/>
            <w:right w:w="108" w:type="dxa"/>
          </w:tblCellMar>
        </w:tblPrEx>
        <w:trPr>
          <w:trHeight w:val="35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2、运行维护经费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公用经费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665</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84</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505.86</w:t>
            </w:r>
            <w:r>
              <w:rPr>
                <w:rFonts w:ascii="Times New Roman" w:hAnsi="Times New Roman" w:eastAsia="仿宋_GB2312" w:cs="Times New Roman"/>
                <w:kern w:val="0"/>
                <w:szCs w:val="21"/>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551.11</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其中：办公经费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42</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41</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27.22</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39.09</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水费、电费、差旅费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100.43</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16.6</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42.19</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会议费、培训费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3.44</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ind w:firstLine="630" w:firstLineChars="300"/>
              <w:jc w:val="both"/>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14.5</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8.97</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政府采购金额</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50</w:t>
            </w:r>
            <w:r>
              <w:rPr>
                <w:rFonts w:ascii="Times New Roman" w:hAnsi="Times New Roman" w:eastAsia="仿宋_GB2312" w:cs="Times New Roman"/>
                <w:kern w:val="0"/>
                <w:szCs w:val="21"/>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115.69</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部门基本支出预算调整</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4252.66</w:t>
            </w:r>
            <w:r>
              <w:rPr>
                <w:rFonts w:ascii="Times New Roman" w:hAnsi="Times New Roman" w:eastAsia="仿宋_GB2312" w:cs="Times New Roman"/>
                <w:kern w:val="0"/>
                <w:szCs w:val="21"/>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4021.90</w:t>
            </w:r>
          </w:p>
        </w:tc>
      </w:tr>
      <w:tr>
        <w:tblPrEx>
          <w:tblCellMar>
            <w:top w:w="0" w:type="dxa"/>
            <w:left w:w="108" w:type="dxa"/>
            <w:bottom w:w="0" w:type="dxa"/>
            <w:right w:w="108" w:type="dxa"/>
          </w:tblCellMar>
        </w:tblPrEx>
        <w:trPr>
          <w:trHeight w:val="837" w:hRule="atLeast"/>
          <w:jc w:val="center"/>
        </w:trPr>
        <w:tc>
          <w:tcPr>
            <w:tcW w:w="335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楼堂馆所控制情况</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（202</w:t>
            </w:r>
            <w:r>
              <w:rPr>
                <w:rFonts w:hint="eastAsia" w:ascii="Times New Roman" w:hAnsi="Times New Roman" w:eastAsia="仿宋_GB2312" w:cs="Times New Roman"/>
                <w:kern w:val="0"/>
                <w:szCs w:val="21"/>
                <w:lang w:val="en-US" w:eastAsia="zh-CN"/>
              </w:rPr>
              <w:t>1</w:t>
            </w:r>
            <w:r>
              <w:rPr>
                <w:rFonts w:ascii="Times New Roman" w:hAnsi="Times New Roman" w:eastAsia="仿宋_GB2312" w:cs="Times New Roman"/>
                <w:kern w:val="0"/>
                <w:szCs w:val="21"/>
              </w:rPr>
              <w:t>年完工项目）</w:t>
            </w:r>
          </w:p>
        </w:tc>
        <w:tc>
          <w:tcPr>
            <w:tcW w:w="11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bCs/>
                <w:kern w:val="0"/>
                <w:szCs w:val="21"/>
              </w:rPr>
            </w:pPr>
            <w:r>
              <w:rPr>
                <w:rFonts w:ascii="Times New Roman" w:hAnsi="Times New Roman" w:eastAsia="仿宋_GB2312" w:cs="Times New Roman"/>
                <w:bCs/>
                <w:kern w:val="0"/>
                <w:szCs w:val="21"/>
              </w:rPr>
              <w:t>批复规模</w:t>
            </w:r>
            <w:r>
              <w:rPr>
                <w:rFonts w:ascii="Times New Roman" w:hAnsi="Times New Roman" w:eastAsia="仿宋_GB2312" w:cs="Times New Roman"/>
                <w:bCs/>
                <w:kern w:val="0"/>
                <w:szCs w:val="21"/>
              </w:rPr>
              <w:br w:type="textWrapping"/>
            </w:r>
            <w:r>
              <w:rPr>
                <w:rFonts w:ascii="Times New Roman" w:hAnsi="Times New Roman" w:eastAsia="仿宋_GB2312" w:cs="Times New Roman"/>
                <w:bCs/>
                <w:kern w:val="0"/>
                <w:szCs w:val="21"/>
              </w:rPr>
              <w:t>（</w:t>
            </w:r>
            <w:r>
              <w:rPr>
                <w:rFonts w:ascii="Times New Roman" w:hAnsi="Times New Roman" w:eastAsia="宋体" w:cs="Times New Roman"/>
                <w:bCs/>
                <w:kern w:val="0"/>
                <w:szCs w:val="21"/>
              </w:rPr>
              <w:t>㎡</w:t>
            </w:r>
            <w:r>
              <w:rPr>
                <w:rFonts w:ascii="Times New Roman" w:hAnsi="Times New Roman" w:eastAsia="仿宋_GB2312" w:cs="Times New Roman"/>
                <w:bCs/>
                <w:kern w:val="0"/>
                <w:szCs w:val="21"/>
              </w:rPr>
              <w:t>）</w:t>
            </w:r>
          </w:p>
        </w:tc>
        <w:tc>
          <w:tcPr>
            <w:tcW w:w="84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bCs/>
                <w:kern w:val="0"/>
                <w:szCs w:val="21"/>
              </w:rPr>
            </w:pPr>
            <w:r>
              <w:rPr>
                <w:rFonts w:ascii="Times New Roman" w:hAnsi="Times New Roman" w:eastAsia="仿宋_GB2312" w:cs="Times New Roman"/>
                <w:bCs/>
                <w:kern w:val="0"/>
                <w:szCs w:val="21"/>
              </w:rPr>
              <w:t>实际规模（</w:t>
            </w:r>
            <w:r>
              <w:rPr>
                <w:rFonts w:ascii="Times New Roman" w:hAnsi="Times New Roman" w:eastAsia="宋体" w:cs="Times New Roman"/>
                <w:bCs/>
                <w:kern w:val="0"/>
                <w:szCs w:val="21"/>
              </w:rPr>
              <w:t>㎡</w:t>
            </w:r>
            <w:r>
              <w:rPr>
                <w:rFonts w:ascii="Times New Roman" w:hAnsi="Times New Roman" w:eastAsia="仿宋_GB2312" w:cs="Times New Roman"/>
                <w:bCs/>
                <w:kern w:val="0"/>
                <w:szCs w:val="21"/>
              </w:rPr>
              <w:t>）</w:t>
            </w:r>
          </w:p>
        </w:tc>
        <w:tc>
          <w:tcPr>
            <w:tcW w:w="112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bCs/>
                <w:kern w:val="0"/>
                <w:szCs w:val="21"/>
              </w:rPr>
            </w:pPr>
            <w:r>
              <w:rPr>
                <w:rFonts w:ascii="Times New Roman" w:hAnsi="Times New Roman" w:eastAsia="仿宋_GB2312" w:cs="Times New Roman"/>
                <w:bCs/>
                <w:kern w:val="0"/>
                <w:szCs w:val="21"/>
              </w:rPr>
              <w:t>规模控制率</w:t>
            </w:r>
          </w:p>
        </w:tc>
        <w:tc>
          <w:tcPr>
            <w:tcW w:w="111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bCs/>
                <w:kern w:val="0"/>
                <w:szCs w:val="21"/>
              </w:rPr>
            </w:pPr>
            <w:r>
              <w:rPr>
                <w:rFonts w:ascii="Times New Roman" w:hAnsi="Times New Roman" w:eastAsia="仿宋_GB2312" w:cs="Times New Roman"/>
                <w:bCs/>
                <w:kern w:val="0"/>
                <w:szCs w:val="21"/>
              </w:rPr>
              <w:t>预算投资（万元）</w:t>
            </w:r>
          </w:p>
        </w:tc>
        <w:tc>
          <w:tcPr>
            <w:tcW w:w="9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bCs/>
                <w:kern w:val="0"/>
                <w:szCs w:val="21"/>
              </w:rPr>
            </w:pPr>
            <w:r>
              <w:rPr>
                <w:rFonts w:ascii="Times New Roman" w:hAnsi="Times New Roman" w:eastAsia="仿宋_GB2312" w:cs="Times New Roman"/>
                <w:bCs/>
                <w:kern w:val="0"/>
                <w:szCs w:val="21"/>
              </w:rPr>
              <w:t>实际投资（万元）</w:t>
            </w:r>
          </w:p>
        </w:tc>
        <w:tc>
          <w:tcPr>
            <w:tcW w:w="86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bCs/>
                <w:kern w:val="0"/>
                <w:szCs w:val="21"/>
              </w:rPr>
            </w:pPr>
            <w:r>
              <w:rPr>
                <w:rFonts w:ascii="Times New Roman" w:hAnsi="Times New Roman" w:eastAsia="仿宋_GB2312" w:cs="Times New Roman"/>
                <w:bCs/>
                <w:kern w:val="0"/>
                <w:szCs w:val="21"/>
              </w:rPr>
              <w:t>投资概算控制率</w:t>
            </w:r>
          </w:p>
        </w:tc>
      </w:tr>
      <w:tr>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18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8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12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11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9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756"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通过财经法律法规，国家、省级各经费管理制度、以及《湖南省社会科学院财务管理制度》、《湖南省社会科学院报账细则》等文件，严格要求我院经费的各项开支必须本着厉行节约的使用思想，合理合规进行开支。</w:t>
            </w:r>
          </w:p>
        </w:tc>
      </w:tr>
    </w:tbl>
    <w:p>
      <w:pPr>
        <w:widowControl/>
        <w:jc w:val="left"/>
        <w:rPr>
          <w:rFonts w:ascii="Times New Roman" w:hAnsi="Times New Roman" w:eastAsia="仿宋_GB2312" w:cs="Times New Roman"/>
          <w:kern w:val="0"/>
          <w:sz w:val="22"/>
          <w:szCs w:val="24"/>
        </w:rPr>
      </w:pPr>
      <w:r>
        <w:rPr>
          <w:rFonts w:ascii="Times New Roman" w:hAnsi="Times New Roman" w:eastAsia="仿宋_GB2312" w:cs="Times New Roman"/>
          <w:kern w:val="0"/>
          <w:sz w:val="22"/>
          <w:szCs w:val="24"/>
        </w:rPr>
        <w:t>说明：“项目支出”需要填报基本支出以外的所有项目支出情况，“公用经费”填报基本支出中的一般商品和服务支出。</w:t>
      </w:r>
    </w:p>
    <w:p>
      <w:pPr>
        <w:widowControl/>
        <w:jc w:val="left"/>
        <w:rPr>
          <w:rFonts w:ascii="Times New Roman" w:hAnsi="Times New Roman" w:eastAsia="仿宋_GB2312" w:cs="Times New Roman"/>
          <w:kern w:val="0"/>
          <w:sz w:val="22"/>
          <w:szCs w:val="24"/>
        </w:rPr>
      </w:pPr>
    </w:p>
    <w:p>
      <w:pPr>
        <w:rPr>
          <w:rFonts w:ascii="Times New Roman" w:hAnsi="Times New Roman" w:eastAsia="仿宋_GB2312" w:cs="Times New Roman"/>
          <w:kern w:val="0"/>
          <w:sz w:val="22"/>
          <w:szCs w:val="24"/>
        </w:rPr>
      </w:pPr>
      <w:r>
        <w:rPr>
          <w:rFonts w:ascii="Times New Roman" w:hAnsi="Times New Roman" w:eastAsia="仿宋_GB2312" w:cs="Times New Roman"/>
          <w:kern w:val="0"/>
          <w:sz w:val="22"/>
          <w:szCs w:val="24"/>
        </w:rPr>
        <w:t>填表人：</w:t>
      </w:r>
      <w:r>
        <w:rPr>
          <w:rFonts w:hint="eastAsia" w:ascii="Times New Roman" w:hAnsi="Times New Roman" w:eastAsia="仿宋_GB2312" w:cs="Times New Roman"/>
          <w:kern w:val="0"/>
          <w:sz w:val="22"/>
          <w:szCs w:val="24"/>
          <w:lang w:val="en-US" w:eastAsia="zh-CN"/>
        </w:rPr>
        <w:t xml:space="preserve"> 周婷    </w:t>
      </w:r>
      <w:r>
        <w:rPr>
          <w:rFonts w:hint="eastAsia" w:ascii="Times New Roman" w:hAnsi="Times New Roman" w:eastAsia="仿宋_GB2312" w:cs="Times New Roman"/>
          <w:kern w:val="0"/>
          <w:sz w:val="22"/>
          <w:szCs w:val="24"/>
        </w:rPr>
        <w:t xml:space="preserve">                  </w:t>
      </w:r>
      <w:r>
        <w:rPr>
          <w:rFonts w:hint="eastAsia" w:ascii="Times New Roman" w:hAnsi="Times New Roman" w:eastAsia="仿宋_GB2312" w:cs="Times New Roman"/>
          <w:kern w:val="0"/>
          <w:sz w:val="22"/>
          <w:szCs w:val="24"/>
          <w:lang w:val="en-US" w:eastAsia="zh-CN"/>
        </w:rPr>
        <w:t xml:space="preserve">       </w:t>
      </w:r>
      <w:r>
        <w:rPr>
          <w:rFonts w:hint="eastAsia" w:ascii="Times New Roman" w:hAnsi="Times New Roman" w:eastAsia="仿宋_GB2312" w:cs="Times New Roman"/>
          <w:kern w:val="0"/>
          <w:sz w:val="22"/>
          <w:szCs w:val="24"/>
        </w:rPr>
        <w:t xml:space="preserve"> </w:t>
      </w:r>
      <w:r>
        <w:rPr>
          <w:rFonts w:ascii="Times New Roman" w:hAnsi="Times New Roman" w:eastAsia="仿宋_GB2312" w:cs="Times New Roman"/>
          <w:kern w:val="0"/>
          <w:sz w:val="22"/>
          <w:szCs w:val="24"/>
        </w:rPr>
        <w:t>填报日期：</w:t>
      </w:r>
      <w:r>
        <w:rPr>
          <w:rFonts w:hint="eastAsia" w:ascii="Times New Roman" w:hAnsi="Times New Roman" w:eastAsia="仿宋_GB2312" w:cs="Times New Roman"/>
          <w:kern w:val="0"/>
          <w:sz w:val="22"/>
          <w:szCs w:val="24"/>
        </w:rPr>
        <w:t>202</w:t>
      </w:r>
      <w:r>
        <w:rPr>
          <w:rFonts w:hint="eastAsia" w:ascii="Times New Roman" w:hAnsi="Times New Roman" w:eastAsia="仿宋_GB2312" w:cs="Times New Roman"/>
          <w:kern w:val="0"/>
          <w:sz w:val="22"/>
          <w:szCs w:val="24"/>
          <w:lang w:val="en-US" w:eastAsia="zh-CN"/>
        </w:rPr>
        <w:t>2</w:t>
      </w:r>
      <w:r>
        <w:rPr>
          <w:rFonts w:hint="eastAsia" w:ascii="Times New Roman" w:hAnsi="Times New Roman" w:eastAsia="仿宋_GB2312" w:cs="Times New Roman"/>
          <w:kern w:val="0"/>
          <w:sz w:val="22"/>
          <w:szCs w:val="24"/>
        </w:rPr>
        <w:t>年5月28日</w:t>
      </w:r>
    </w:p>
    <w:p>
      <w:pPr>
        <w:rPr>
          <w:rFonts w:ascii="Times New Roman" w:hAnsi="Times New Roman" w:eastAsia="仿宋_GB2312" w:cs="Times New Roman"/>
          <w:kern w:val="0"/>
          <w:sz w:val="22"/>
          <w:szCs w:val="24"/>
        </w:rPr>
      </w:pPr>
    </w:p>
    <w:p>
      <w:pPr>
        <w:rPr>
          <w:rFonts w:hint="eastAsia" w:ascii="Times New Roman" w:hAnsi="Times New Roman" w:eastAsia="仿宋_GB2312" w:cs="Times New Roman"/>
          <w:kern w:val="0"/>
          <w:sz w:val="22"/>
          <w:szCs w:val="24"/>
          <w:lang w:eastAsia="zh-CN"/>
        </w:rPr>
      </w:pPr>
      <w:r>
        <w:rPr>
          <w:rFonts w:ascii="Times New Roman" w:hAnsi="Times New Roman" w:eastAsia="仿宋_GB2312" w:cs="Times New Roman"/>
          <w:kern w:val="0"/>
          <w:sz w:val="22"/>
          <w:szCs w:val="24"/>
        </w:rPr>
        <w:t>联系电话：</w:t>
      </w:r>
      <w:r>
        <w:rPr>
          <w:rFonts w:hint="eastAsia" w:ascii="Times New Roman" w:hAnsi="Times New Roman" w:eastAsia="仿宋_GB2312" w:cs="Times New Roman"/>
          <w:kern w:val="0"/>
          <w:sz w:val="22"/>
          <w:szCs w:val="24"/>
        </w:rPr>
        <w:t xml:space="preserve">0731-84219128         </w:t>
      </w:r>
      <w:r>
        <w:rPr>
          <w:rFonts w:hint="eastAsia" w:ascii="Times New Roman" w:hAnsi="Times New Roman" w:eastAsia="仿宋_GB2312" w:cs="Times New Roman"/>
          <w:kern w:val="0"/>
          <w:sz w:val="22"/>
          <w:szCs w:val="24"/>
          <w:lang w:val="en-US" w:eastAsia="zh-CN"/>
        </w:rPr>
        <w:t xml:space="preserve">      </w:t>
      </w:r>
      <w:r>
        <w:rPr>
          <w:rFonts w:hint="eastAsia" w:ascii="Times New Roman" w:hAnsi="Times New Roman" w:eastAsia="仿宋_GB2312" w:cs="Times New Roman"/>
          <w:kern w:val="0"/>
          <w:sz w:val="22"/>
          <w:szCs w:val="24"/>
        </w:rPr>
        <w:t xml:space="preserve"> </w:t>
      </w:r>
      <w:r>
        <w:rPr>
          <w:rFonts w:hint="eastAsia" w:ascii="Times New Roman" w:hAnsi="Times New Roman" w:eastAsia="仿宋_GB2312" w:cs="Times New Roman"/>
          <w:kern w:val="0"/>
          <w:sz w:val="22"/>
          <w:szCs w:val="24"/>
          <w:lang w:val="en-US" w:eastAsia="zh-CN"/>
        </w:rPr>
        <w:t xml:space="preserve">    </w:t>
      </w:r>
      <w:r>
        <w:rPr>
          <w:rFonts w:hint="eastAsia" w:ascii="Times New Roman" w:hAnsi="Times New Roman" w:eastAsia="仿宋_GB2312" w:cs="Times New Roman"/>
          <w:kern w:val="0"/>
          <w:sz w:val="22"/>
          <w:szCs w:val="24"/>
        </w:rPr>
        <w:t xml:space="preserve"> </w:t>
      </w:r>
      <w:r>
        <w:rPr>
          <w:rFonts w:ascii="Times New Roman" w:hAnsi="Times New Roman" w:eastAsia="仿宋_GB2312" w:cs="Times New Roman"/>
          <w:kern w:val="0"/>
          <w:sz w:val="22"/>
          <w:szCs w:val="24"/>
        </w:rPr>
        <w:t>单位负责人签字：</w:t>
      </w:r>
    </w:p>
    <w:p>
      <w:pPr>
        <w:rPr>
          <w:rFonts w:ascii="Times New Roman" w:hAnsi="Times New Roman" w:eastAsia="仿宋_GB2312" w:cs="Times New Roman"/>
          <w:kern w:val="0"/>
          <w:sz w:val="22"/>
          <w:szCs w:val="24"/>
        </w:rPr>
      </w:pPr>
    </w:p>
    <w:p>
      <w:pPr>
        <w:rPr>
          <w:rFonts w:ascii="Times New Roman" w:hAnsi="Times New Roman" w:eastAsia="仿宋_GB2312" w:cs="Times New Roman"/>
          <w:kern w:val="0"/>
          <w:sz w:val="22"/>
          <w:szCs w:val="24"/>
        </w:rPr>
      </w:pPr>
    </w:p>
    <w:p>
      <w:pPr>
        <w:rPr>
          <w:rFonts w:ascii="Times New Roman" w:hAnsi="Times New Roman" w:eastAsia="仿宋_GB2312" w:cs="Times New Roman"/>
          <w:kern w:val="0"/>
          <w:sz w:val="22"/>
          <w:szCs w:val="24"/>
        </w:rPr>
      </w:pPr>
    </w:p>
    <w:p/>
    <w:p>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sz w:val="32"/>
          <w:szCs w:val="32"/>
        </w:rPr>
      </w:pPr>
    </w:p>
    <w:p>
      <w:pPr>
        <w:widowControl/>
        <w:spacing w:afterLines="50"/>
        <w:jc w:val="center"/>
        <w:outlineLvl w:val="0"/>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w:t>
      </w:r>
      <w:r>
        <w:rPr>
          <w:rFonts w:hint="default" w:ascii="Times New Roman" w:hAnsi="Times New Roman" w:eastAsia="方正小标宋_GBK" w:cs="Times New Roman"/>
          <w:color w:val="000000"/>
          <w:kern w:val="0"/>
          <w:sz w:val="36"/>
          <w:szCs w:val="36"/>
          <w:lang w:val="en"/>
        </w:rPr>
        <w:t>1</w:t>
      </w:r>
      <w:r>
        <w:rPr>
          <w:rFonts w:ascii="Times New Roman" w:hAnsi="Times New Roman" w:eastAsia="方正小标宋_GBK" w:cs="Times New Roman"/>
          <w:color w:val="000000"/>
          <w:kern w:val="0"/>
          <w:sz w:val="36"/>
          <w:szCs w:val="36"/>
        </w:rPr>
        <w:t>年度部门整体支出绩效自评表</w:t>
      </w:r>
    </w:p>
    <w:tbl>
      <w:tblPr>
        <w:tblStyle w:val="3"/>
        <w:tblW w:w="9993" w:type="dxa"/>
        <w:jc w:val="center"/>
        <w:tblLayout w:type="fixed"/>
        <w:tblCellMar>
          <w:top w:w="0" w:type="dxa"/>
          <w:left w:w="108" w:type="dxa"/>
          <w:bottom w:w="0" w:type="dxa"/>
          <w:right w:w="108" w:type="dxa"/>
        </w:tblCellMar>
      </w:tblPr>
      <w:tblGrid>
        <w:gridCol w:w="1080"/>
        <w:gridCol w:w="1080"/>
        <w:gridCol w:w="1094"/>
        <w:gridCol w:w="1115"/>
        <w:gridCol w:w="1011"/>
        <w:gridCol w:w="709"/>
        <w:gridCol w:w="1276"/>
        <w:gridCol w:w="709"/>
        <w:gridCol w:w="992"/>
        <w:gridCol w:w="927"/>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省级预算部门名称</w:t>
            </w:r>
          </w:p>
        </w:tc>
        <w:tc>
          <w:tcPr>
            <w:tcW w:w="8913"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rPr>
              <w:t>湖南省社会科学院</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年度预</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算申请</w:t>
            </w:r>
            <w:r>
              <w:rPr>
                <w:rFonts w:ascii="Times New Roman" w:hAnsi="Times New Roman" w:eastAsia="仿宋_GB2312" w:cs="Times New Roman"/>
                <w:color w:val="000000"/>
                <w:kern w:val="0"/>
                <w:szCs w:val="21"/>
              </w:rPr>
              <w:br w:type="textWrapping"/>
            </w:r>
            <w:r>
              <w:rPr>
                <w:rFonts w:ascii="Times New Roman" w:hAnsi="Times New Roman" w:eastAsia="仿宋_GB2312" w:cs="Times New Roman"/>
                <w:color w:val="000000"/>
                <w:kern w:val="0"/>
                <w:szCs w:val="21"/>
              </w:rPr>
              <w:t>（万元）</w:t>
            </w:r>
          </w:p>
        </w:tc>
        <w:tc>
          <w:tcPr>
            <w:tcW w:w="2174"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p>
        </w:tc>
        <w:tc>
          <w:tcPr>
            <w:tcW w:w="111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年初</w:t>
            </w:r>
          </w:p>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预算数</w:t>
            </w:r>
          </w:p>
        </w:tc>
        <w:tc>
          <w:tcPr>
            <w:tcW w:w="1720"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全年预算数</w:t>
            </w:r>
          </w:p>
        </w:tc>
        <w:tc>
          <w:tcPr>
            <w:tcW w:w="127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全年执行数</w:t>
            </w:r>
          </w:p>
        </w:tc>
        <w:tc>
          <w:tcPr>
            <w:tcW w:w="70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分值</w:t>
            </w:r>
          </w:p>
        </w:tc>
        <w:tc>
          <w:tcPr>
            <w:tcW w:w="9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执行率</w:t>
            </w:r>
          </w:p>
        </w:tc>
        <w:tc>
          <w:tcPr>
            <w:tcW w:w="927"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tc>
        <w:tc>
          <w:tcPr>
            <w:tcW w:w="2174"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color w:val="000000"/>
                <w:kern w:val="0"/>
                <w:szCs w:val="21"/>
              </w:rPr>
              <w:t>年度资金总额</w:t>
            </w:r>
          </w:p>
        </w:tc>
        <w:tc>
          <w:tcPr>
            <w:tcW w:w="1115" w:type="dxa"/>
            <w:tcBorders>
              <w:top w:val="nil"/>
              <w:left w:val="nil"/>
              <w:bottom w:val="single" w:color="auto" w:sz="4" w:space="0"/>
              <w:right w:val="single" w:color="auto" w:sz="4" w:space="0"/>
            </w:tcBorders>
            <w:shd w:val="clear" w:color="auto" w:fill="auto"/>
            <w:vAlign w:val="center"/>
          </w:tcPr>
          <w:p>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5573.81</w:t>
            </w:r>
          </w:p>
        </w:tc>
        <w:tc>
          <w:tcPr>
            <w:tcW w:w="1720"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6315.15</w:t>
            </w:r>
          </w:p>
        </w:tc>
        <w:tc>
          <w:tcPr>
            <w:tcW w:w="1276" w:type="dxa"/>
            <w:tcBorders>
              <w:top w:val="nil"/>
              <w:left w:val="nil"/>
              <w:bottom w:val="single" w:color="auto" w:sz="4" w:space="0"/>
              <w:right w:val="single" w:color="auto" w:sz="4" w:space="0"/>
            </w:tcBorders>
            <w:shd w:val="clear" w:color="auto" w:fill="auto"/>
            <w:vAlign w:val="center"/>
          </w:tcPr>
          <w:p>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6274.55</w:t>
            </w:r>
          </w:p>
        </w:tc>
        <w:tc>
          <w:tcPr>
            <w:tcW w:w="70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10</w:t>
            </w:r>
          </w:p>
        </w:tc>
        <w:tc>
          <w:tcPr>
            <w:tcW w:w="9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99.36</w:t>
            </w:r>
            <w:r>
              <w:rPr>
                <w:rFonts w:hint="eastAsia" w:ascii="Times New Roman" w:hAnsi="Times New Roman" w:eastAsia="仿宋_GB2312" w:cs="Times New Roman"/>
                <w:szCs w:val="21"/>
              </w:rPr>
              <w:t>%</w:t>
            </w:r>
          </w:p>
        </w:tc>
        <w:tc>
          <w:tcPr>
            <w:tcW w:w="927" w:type="dxa"/>
            <w:tcBorders>
              <w:top w:val="nil"/>
              <w:left w:val="nil"/>
              <w:bottom w:val="single" w:color="auto" w:sz="4" w:space="0"/>
              <w:right w:val="single" w:color="auto" w:sz="4" w:space="0"/>
            </w:tcBorders>
            <w:shd w:val="clear" w:color="auto" w:fill="auto"/>
            <w:vAlign w:val="center"/>
          </w:tcPr>
          <w:p>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10</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5009" w:type="dxa"/>
            <w:gridSpan w:val="5"/>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按收入性质分：</w:t>
            </w:r>
          </w:p>
        </w:tc>
        <w:tc>
          <w:tcPr>
            <w:tcW w:w="3904" w:type="dxa"/>
            <w:gridSpan w:val="4"/>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5009" w:type="dxa"/>
            <w:gridSpan w:val="5"/>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default"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其中：一般公共预算：</w:t>
            </w:r>
            <w:r>
              <w:rPr>
                <w:rFonts w:hint="eastAsia" w:ascii="Times New Roman" w:hAnsi="Times New Roman" w:eastAsia="仿宋_GB2312" w:cs="Times New Roman"/>
                <w:color w:val="000000"/>
                <w:kern w:val="0"/>
                <w:szCs w:val="21"/>
                <w:lang w:val="en-US" w:eastAsia="zh-CN"/>
              </w:rPr>
              <w:t>6315.15</w:t>
            </w:r>
          </w:p>
        </w:tc>
        <w:tc>
          <w:tcPr>
            <w:tcW w:w="3904" w:type="dxa"/>
            <w:gridSpan w:val="4"/>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default"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其中：基本支出：</w:t>
            </w:r>
            <w:r>
              <w:rPr>
                <w:rFonts w:hint="eastAsia" w:ascii="Times New Roman" w:hAnsi="Times New Roman" w:eastAsia="仿宋_GB2312" w:cs="Times New Roman"/>
                <w:color w:val="000000"/>
                <w:kern w:val="0"/>
                <w:szCs w:val="21"/>
                <w:lang w:val="en-US" w:eastAsia="zh-CN"/>
              </w:rPr>
              <w:t>4021.91</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5009" w:type="dxa"/>
            <w:gridSpan w:val="5"/>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政府性基金拨款：</w:t>
            </w:r>
            <w:r>
              <w:rPr>
                <w:rFonts w:hint="eastAsia" w:ascii="Times New Roman" w:hAnsi="Times New Roman" w:eastAsia="仿宋_GB2312" w:cs="Times New Roman"/>
                <w:color w:val="000000"/>
                <w:kern w:val="0"/>
                <w:szCs w:val="21"/>
                <w:lang w:val="en-US" w:eastAsia="zh-CN"/>
              </w:rPr>
              <w:t>0</w:t>
            </w:r>
          </w:p>
        </w:tc>
        <w:tc>
          <w:tcPr>
            <w:tcW w:w="3904" w:type="dxa"/>
            <w:gridSpan w:val="4"/>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default"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项目支出：</w:t>
            </w:r>
            <w:r>
              <w:rPr>
                <w:rFonts w:hint="eastAsia" w:ascii="Times New Roman" w:hAnsi="Times New Roman" w:eastAsia="仿宋_GB2312" w:cs="Times New Roman"/>
                <w:color w:val="000000"/>
                <w:kern w:val="0"/>
                <w:szCs w:val="21"/>
                <w:lang w:val="en-US" w:eastAsia="zh-CN"/>
              </w:rPr>
              <w:t>2252.64</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5009" w:type="dxa"/>
            <w:gridSpan w:val="5"/>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纳入专户管理的非税收入拨款：</w:t>
            </w:r>
            <w:r>
              <w:rPr>
                <w:rFonts w:hint="eastAsia" w:ascii="Times New Roman" w:hAnsi="Times New Roman" w:eastAsia="仿宋_GB2312" w:cs="Times New Roman"/>
                <w:color w:val="000000"/>
                <w:kern w:val="0"/>
                <w:szCs w:val="21"/>
                <w:lang w:val="en-US" w:eastAsia="zh-CN"/>
              </w:rPr>
              <w:t>0</w:t>
            </w:r>
          </w:p>
        </w:tc>
        <w:tc>
          <w:tcPr>
            <w:tcW w:w="3904" w:type="dxa"/>
            <w:gridSpan w:val="4"/>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5009" w:type="dxa"/>
            <w:gridSpan w:val="5"/>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其他资金：</w:t>
            </w:r>
            <w:r>
              <w:rPr>
                <w:rFonts w:hint="eastAsia" w:ascii="Times New Roman" w:hAnsi="Times New Roman" w:eastAsia="仿宋_GB2312" w:cs="Times New Roman"/>
                <w:color w:val="000000"/>
                <w:kern w:val="0"/>
                <w:szCs w:val="21"/>
                <w:lang w:val="en-US" w:eastAsia="zh-CN"/>
              </w:rPr>
              <w:t>0</w:t>
            </w:r>
          </w:p>
        </w:tc>
        <w:tc>
          <w:tcPr>
            <w:tcW w:w="3904" w:type="dxa"/>
            <w:gridSpan w:val="4"/>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年度总体目标</w:t>
            </w:r>
          </w:p>
        </w:tc>
        <w:tc>
          <w:tcPr>
            <w:tcW w:w="5009"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预期目标</w:t>
            </w:r>
          </w:p>
        </w:tc>
        <w:tc>
          <w:tcPr>
            <w:tcW w:w="3904"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5009"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3904"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绩</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效</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标</w:t>
            </w: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一级指标</w:t>
            </w:r>
          </w:p>
        </w:tc>
        <w:tc>
          <w:tcPr>
            <w:tcW w:w="109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二级指标</w:t>
            </w:r>
          </w:p>
        </w:tc>
        <w:tc>
          <w:tcPr>
            <w:tcW w:w="2126"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三级指标</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年度</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指标值</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实际完成值</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分值</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得分</w:t>
            </w:r>
          </w:p>
        </w:tc>
        <w:tc>
          <w:tcPr>
            <w:tcW w:w="92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偏差原因</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分析及</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restart"/>
            <w:tcBorders>
              <w:top w:val="nil"/>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产出指标</w:t>
            </w: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(50分)</w:t>
            </w:r>
          </w:p>
        </w:tc>
        <w:tc>
          <w:tcPr>
            <w:tcW w:w="1094" w:type="dxa"/>
            <w:vMerge w:val="restart"/>
            <w:tcBorders>
              <w:top w:val="nil"/>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数量指标</w:t>
            </w:r>
          </w:p>
        </w:tc>
        <w:tc>
          <w:tcPr>
            <w:tcW w:w="2126"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著作</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
              </w:rPr>
              <w:t>1</w:t>
            </w:r>
            <w:r>
              <w:rPr>
                <w:rFonts w:hint="eastAsia" w:ascii="Times New Roman" w:hAnsi="Times New Roman" w:eastAsia="仿宋_GB2312" w:cs="Times New Roman"/>
                <w:color w:val="auto"/>
                <w:kern w:val="0"/>
                <w:szCs w:val="21"/>
              </w:rPr>
              <w:t>0部</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
              </w:rPr>
              <w:t>2</w:t>
            </w:r>
            <w:r>
              <w:rPr>
                <w:rFonts w:hint="eastAsia" w:ascii="Times New Roman" w:hAnsi="Times New Roman" w:eastAsia="仿宋_GB2312" w:cs="Times New Roman"/>
                <w:color w:val="auto"/>
                <w:kern w:val="0"/>
                <w:szCs w:val="21"/>
              </w:rPr>
              <w:t>5部</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92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94" w:type="dxa"/>
            <w:vMerge w:val="continue"/>
            <w:tcBorders>
              <w:left w:val="nil"/>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000000"/>
                <w:kern w:val="0"/>
                <w:szCs w:val="21"/>
              </w:rPr>
            </w:pPr>
          </w:p>
        </w:tc>
        <w:tc>
          <w:tcPr>
            <w:tcW w:w="2126"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课题</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
              </w:rPr>
              <w:t>2</w:t>
            </w:r>
            <w:r>
              <w:rPr>
                <w:rFonts w:hint="eastAsia" w:ascii="Times New Roman" w:hAnsi="Times New Roman" w:eastAsia="仿宋_GB2312" w:cs="Times New Roman"/>
                <w:color w:val="auto"/>
                <w:kern w:val="0"/>
                <w:szCs w:val="21"/>
              </w:rPr>
              <w:t>0项</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
              </w:rPr>
              <w:t>25</w:t>
            </w:r>
            <w:r>
              <w:rPr>
                <w:rFonts w:hint="eastAsia" w:ascii="Times New Roman" w:hAnsi="Times New Roman" w:eastAsia="仿宋_GB2312" w:cs="Times New Roman"/>
                <w:color w:val="auto"/>
                <w:kern w:val="0"/>
                <w:szCs w:val="21"/>
              </w:rPr>
              <w:t>项</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92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215" w:hRule="atLeast"/>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94" w:type="dxa"/>
            <w:vMerge w:val="continue"/>
            <w:tcBorders>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tc>
        <w:tc>
          <w:tcPr>
            <w:tcW w:w="2126"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论文</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150篇</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
              </w:rPr>
              <w:t>340</w:t>
            </w:r>
            <w:r>
              <w:rPr>
                <w:rFonts w:hint="eastAsia" w:ascii="Times New Roman" w:hAnsi="Times New Roman" w:eastAsia="仿宋_GB2312" w:cs="Times New Roman"/>
                <w:color w:val="auto"/>
                <w:kern w:val="0"/>
                <w:szCs w:val="21"/>
              </w:rPr>
              <w:t>篇</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92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180" w:hRule="atLeast"/>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94" w:type="dxa"/>
            <w:vMerge w:val="continue"/>
            <w:tcBorders>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反馈</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
              </w:rPr>
              <w:t>15</w:t>
            </w:r>
            <w:r>
              <w:rPr>
                <w:rFonts w:hint="eastAsia" w:ascii="Times New Roman" w:hAnsi="Times New Roman" w:eastAsia="仿宋_GB2312" w:cs="Times New Roman"/>
                <w:color w:val="auto"/>
                <w:kern w:val="0"/>
                <w:szCs w:val="21"/>
              </w:rPr>
              <w:t>篇</w:t>
            </w: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
              </w:rPr>
              <w:t>1</w:t>
            </w:r>
            <w:r>
              <w:rPr>
                <w:rFonts w:hint="eastAsia" w:ascii="Times New Roman" w:hAnsi="Times New Roman" w:eastAsia="仿宋_GB2312" w:cs="Times New Roman"/>
                <w:color w:val="auto"/>
                <w:kern w:val="0"/>
                <w:szCs w:val="21"/>
              </w:rPr>
              <w:t>5篇</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927"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r>
      <w:tr>
        <w:tblPrEx>
          <w:tblCellMar>
            <w:top w:w="0" w:type="dxa"/>
            <w:left w:w="108" w:type="dxa"/>
            <w:bottom w:w="0" w:type="dxa"/>
            <w:right w:w="108" w:type="dxa"/>
          </w:tblCellMar>
        </w:tblPrEx>
        <w:trPr>
          <w:trHeight w:val="165" w:hRule="atLeast"/>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94" w:type="dxa"/>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获奖</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
              </w:rPr>
              <w:t>5</w:t>
            </w:r>
            <w:r>
              <w:rPr>
                <w:rFonts w:hint="eastAsia" w:ascii="Times New Roman" w:hAnsi="Times New Roman" w:eastAsia="仿宋_GB2312" w:cs="Times New Roman"/>
                <w:color w:val="auto"/>
                <w:kern w:val="0"/>
                <w:szCs w:val="21"/>
              </w:rPr>
              <w:t>项</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927"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94" w:type="dxa"/>
            <w:vMerge w:val="restart"/>
            <w:tcBorders>
              <w:top w:val="nil"/>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质量指标</w:t>
            </w:r>
          </w:p>
        </w:tc>
        <w:tc>
          <w:tcPr>
            <w:tcW w:w="2126"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权威出版社出版著作</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auto"/>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
              </w:rPr>
              <w:t>10</w:t>
            </w:r>
            <w:r>
              <w:rPr>
                <w:rFonts w:hint="eastAsia" w:ascii="Times New Roman" w:hAnsi="Times New Roman" w:eastAsia="仿宋_GB2312" w:cs="Times New Roman"/>
                <w:color w:val="auto"/>
                <w:kern w:val="0"/>
                <w:szCs w:val="21"/>
              </w:rPr>
              <w:t>部</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92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94" w:type="dxa"/>
            <w:vMerge w:val="continue"/>
            <w:tcBorders>
              <w:left w:val="nil"/>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000000"/>
                <w:kern w:val="0"/>
                <w:szCs w:val="21"/>
              </w:rPr>
            </w:pPr>
          </w:p>
        </w:tc>
        <w:tc>
          <w:tcPr>
            <w:tcW w:w="2126"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国家课题</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auto"/>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
              </w:rPr>
              <w:t>2</w:t>
            </w:r>
            <w:r>
              <w:rPr>
                <w:rFonts w:hint="eastAsia" w:ascii="Times New Roman" w:hAnsi="Times New Roman" w:eastAsia="仿宋_GB2312" w:cs="Times New Roman"/>
                <w:color w:val="auto"/>
                <w:kern w:val="0"/>
                <w:szCs w:val="21"/>
              </w:rPr>
              <w:t>项</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92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94" w:type="dxa"/>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tc>
        <w:tc>
          <w:tcPr>
            <w:tcW w:w="2126"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CSSCI来源以上论文</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auto"/>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
              </w:rPr>
              <w:t>46</w:t>
            </w:r>
            <w:r>
              <w:rPr>
                <w:rFonts w:hint="eastAsia" w:ascii="Times New Roman" w:hAnsi="Times New Roman" w:eastAsia="仿宋_GB2312" w:cs="Times New Roman"/>
                <w:color w:val="auto"/>
                <w:kern w:val="0"/>
                <w:szCs w:val="21"/>
              </w:rPr>
              <w:t>篇</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92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9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时效指标</w:t>
            </w:r>
          </w:p>
        </w:tc>
        <w:tc>
          <w:tcPr>
            <w:tcW w:w="2126"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本年度完成</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92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left w:val="nil"/>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9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成本指标</w:t>
            </w:r>
          </w:p>
        </w:tc>
        <w:tc>
          <w:tcPr>
            <w:tcW w:w="2126"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按难度预算执行</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92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restart"/>
            <w:tcBorders>
              <w:top w:val="nil"/>
              <w:left w:val="nil"/>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效益指标</w:t>
            </w:r>
          </w:p>
          <w:p>
            <w:pPr>
              <w:widowControl/>
              <w:spacing w:line="240" w:lineRule="exact"/>
              <w:jc w:val="left"/>
              <w:rPr>
                <w:rFonts w:ascii="Times New Roman" w:hAnsi="Times New Roman" w:eastAsia="仿宋_GB2312" w:cs="Times New Roman"/>
                <w:color w:val="000000"/>
                <w:kern w:val="0"/>
                <w:szCs w:val="21"/>
              </w:rPr>
            </w:pPr>
          </w:p>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（30分）</w:t>
            </w:r>
          </w:p>
        </w:tc>
        <w:tc>
          <w:tcPr>
            <w:tcW w:w="109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经济效</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益指标</w:t>
            </w:r>
          </w:p>
        </w:tc>
        <w:tc>
          <w:tcPr>
            <w:tcW w:w="2126"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无</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2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1152" w:hRule="atLeast"/>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94" w:type="dxa"/>
            <w:vMerge w:val="restart"/>
            <w:tcBorders>
              <w:top w:val="single" w:color="auto" w:sz="4" w:space="0"/>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社会效</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益指标</w:t>
            </w:r>
          </w:p>
        </w:tc>
        <w:tc>
          <w:tcPr>
            <w:tcW w:w="2126"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力争打造一批省内一流、全国知名、具有较高知名度、美誉度、公认度的品牌成果</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10</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10</w:t>
            </w:r>
          </w:p>
        </w:tc>
        <w:tc>
          <w:tcPr>
            <w:tcW w:w="92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835" w:hRule="atLeast"/>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94" w:type="dxa"/>
            <w:vMerge w:val="continue"/>
            <w:tcBorders>
              <w:left w:val="nil"/>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000000"/>
                <w:kern w:val="0"/>
                <w:szCs w:val="21"/>
              </w:rPr>
            </w:pP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形成一批具有重要社会影响力的专家学者、智库团队</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10</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10</w:t>
            </w:r>
          </w:p>
        </w:tc>
        <w:tc>
          <w:tcPr>
            <w:tcW w:w="927"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r>
      <w:tr>
        <w:tblPrEx>
          <w:tblCellMar>
            <w:top w:w="0" w:type="dxa"/>
            <w:left w:w="108" w:type="dxa"/>
            <w:bottom w:w="0" w:type="dxa"/>
            <w:right w:w="108" w:type="dxa"/>
          </w:tblCellMar>
        </w:tblPrEx>
        <w:trPr>
          <w:trHeight w:val="538" w:hRule="atLeast"/>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94" w:type="dxa"/>
            <w:vMerge w:val="continue"/>
            <w:tcBorders>
              <w:left w:val="nil"/>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000000"/>
                <w:kern w:val="0"/>
                <w:szCs w:val="21"/>
              </w:rPr>
            </w:pP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建设成为省内领先，全国知名的地方综合性高端智库</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10</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9</w:t>
            </w:r>
          </w:p>
        </w:tc>
        <w:tc>
          <w:tcPr>
            <w:tcW w:w="927"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94" w:type="dxa"/>
            <w:tcBorders>
              <w:top w:val="single" w:color="auto" w:sz="4" w:space="0"/>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生态效</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益指标</w:t>
            </w:r>
          </w:p>
        </w:tc>
        <w:tc>
          <w:tcPr>
            <w:tcW w:w="2126"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无</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2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80" w:hRule="atLeast"/>
          <w:jc w:val="center"/>
        </w:trPr>
        <w:tc>
          <w:tcPr>
            <w:tcW w:w="108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绩</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效</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标</w:t>
            </w:r>
          </w:p>
        </w:tc>
        <w:tc>
          <w:tcPr>
            <w:tcW w:w="1080" w:type="dxa"/>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094" w:type="dxa"/>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可持续影响指标</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保持工作的持续性</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rPr>
              <w:t>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rPr>
              <w:t>5</w:t>
            </w:r>
          </w:p>
        </w:tc>
        <w:tc>
          <w:tcPr>
            <w:tcW w:w="9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tcBorders>
              <w:top w:val="nil"/>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满意度</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（10分）</w:t>
            </w:r>
          </w:p>
        </w:tc>
        <w:tc>
          <w:tcPr>
            <w:tcW w:w="1094" w:type="dxa"/>
            <w:tcBorders>
              <w:top w:val="single" w:color="auto" w:sz="4" w:space="0"/>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服务对象满意度指标</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满意度</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rPr>
              <w:t>5</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rPr>
              <w:t>5</w:t>
            </w:r>
          </w:p>
        </w:tc>
        <w:tc>
          <w:tcPr>
            <w:tcW w:w="92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270" w:hRule="atLeast"/>
          <w:jc w:val="center"/>
        </w:trPr>
        <w:tc>
          <w:tcPr>
            <w:tcW w:w="7365"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总分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100</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rPr>
              <w:t>98</w:t>
            </w:r>
          </w:p>
        </w:tc>
        <w:tc>
          <w:tcPr>
            <w:tcW w:w="92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bl>
    <w:p>
      <w:pPr>
        <w:outlineLvl w:val="0"/>
        <w:rPr>
          <w:rFonts w:ascii="Times New Roman" w:hAnsi="Times New Roman" w:eastAsia="仿宋_GB2312" w:cs="Times New Roman"/>
          <w:color w:val="FF0000"/>
          <w:kern w:val="0"/>
          <w:szCs w:val="21"/>
        </w:rPr>
      </w:pPr>
      <w:r>
        <w:rPr>
          <w:rFonts w:ascii="Times New Roman" w:hAnsi="Times New Roman" w:eastAsia="仿宋_GB2312" w:cs="Times New Roman"/>
          <w:kern w:val="0"/>
          <w:szCs w:val="21"/>
        </w:rPr>
        <w:t>填表人：</w:t>
      </w:r>
      <w:r>
        <w:rPr>
          <w:rFonts w:hint="eastAsia" w:ascii="Times New Roman" w:hAnsi="Times New Roman" w:eastAsia="仿宋_GB2312" w:cs="Times New Roman"/>
          <w:kern w:val="0"/>
          <w:szCs w:val="21"/>
        </w:rPr>
        <w:t xml:space="preserve">周婷                           </w:t>
      </w:r>
      <w:r>
        <w:rPr>
          <w:rFonts w:ascii="Times New Roman" w:hAnsi="Times New Roman" w:eastAsia="仿宋_GB2312" w:cs="Times New Roman"/>
          <w:kern w:val="0"/>
          <w:szCs w:val="21"/>
        </w:rPr>
        <w:t>填报日</w:t>
      </w:r>
      <w:r>
        <w:rPr>
          <w:rFonts w:ascii="Times New Roman" w:hAnsi="Times New Roman" w:eastAsia="仿宋_GB2312" w:cs="Times New Roman"/>
          <w:color w:val="auto"/>
          <w:kern w:val="0"/>
          <w:szCs w:val="21"/>
        </w:rPr>
        <w:t>期：</w:t>
      </w:r>
      <w:r>
        <w:rPr>
          <w:rFonts w:hint="eastAsia" w:ascii="Times New Roman" w:hAnsi="Times New Roman" w:eastAsia="仿宋_GB2312" w:cs="Times New Roman"/>
          <w:color w:val="auto"/>
          <w:kern w:val="0"/>
          <w:szCs w:val="21"/>
        </w:rPr>
        <w:t>202</w:t>
      </w:r>
      <w:r>
        <w:rPr>
          <w:rFonts w:hint="default" w:ascii="Times New Roman" w:hAnsi="Times New Roman" w:eastAsia="仿宋_GB2312" w:cs="Times New Roman"/>
          <w:color w:val="auto"/>
          <w:kern w:val="0"/>
          <w:szCs w:val="21"/>
          <w:lang w:val="en"/>
        </w:rPr>
        <w:t>2</w:t>
      </w:r>
      <w:r>
        <w:rPr>
          <w:rFonts w:hint="eastAsia" w:ascii="Times New Roman" w:hAnsi="Times New Roman" w:eastAsia="仿宋_GB2312" w:cs="Times New Roman"/>
          <w:color w:val="auto"/>
          <w:kern w:val="0"/>
          <w:szCs w:val="21"/>
        </w:rPr>
        <w:t>年5月2</w:t>
      </w:r>
      <w:r>
        <w:rPr>
          <w:rFonts w:hint="default" w:ascii="Times New Roman" w:hAnsi="Times New Roman" w:eastAsia="仿宋_GB2312" w:cs="Times New Roman"/>
          <w:color w:val="auto"/>
          <w:kern w:val="0"/>
          <w:szCs w:val="21"/>
          <w:lang w:val="en"/>
        </w:rPr>
        <w:t>7</w:t>
      </w:r>
      <w:r>
        <w:rPr>
          <w:rFonts w:hint="eastAsia" w:ascii="Times New Roman" w:hAnsi="Times New Roman" w:eastAsia="仿宋_GB2312" w:cs="Times New Roman"/>
          <w:color w:val="auto"/>
          <w:kern w:val="0"/>
          <w:szCs w:val="21"/>
        </w:rPr>
        <w:t>日</w:t>
      </w:r>
    </w:p>
    <w:p>
      <w:pPr>
        <w:outlineLvl w:val="0"/>
        <w:rPr>
          <w:rFonts w:hint="eastAsia" w:ascii="仿宋_GB2312" w:hAnsi="仿宋_GB2312" w:eastAsia="仿宋_GB2312" w:cs="仿宋_GB2312"/>
          <w:sz w:val="32"/>
          <w:szCs w:val="32"/>
        </w:rPr>
      </w:pPr>
      <w:r>
        <w:rPr>
          <w:rFonts w:ascii="Times New Roman" w:hAnsi="Times New Roman" w:eastAsia="仿宋_GB2312" w:cs="Times New Roman"/>
          <w:kern w:val="0"/>
          <w:szCs w:val="21"/>
        </w:rPr>
        <w:t>联系电话：</w:t>
      </w:r>
      <w:r>
        <w:rPr>
          <w:rFonts w:hint="eastAsia" w:ascii="Times New Roman" w:hAnsi="Times New Roman" w:eastAsia="仿宋_GB2312" w:cs="Times New Roman"/>
          <w:kern w:val="0"/>
          <w:szCs w:val="21"/>
        </w:rPr>
        <w:t xml:space="preserve">0731-84219128                </w:t>
      </w:r>
      <w:r>
        <w:rPr>
          <w:rFonts w:ascii="Times New Roman" w:hAnsi="Times New Roman" w:eastAsia="仿宋_GB2312" w:cs="Times New Roman"/>
          <w:kern w:val="0"/>
          <w:szCs w:val="21"/>
        </w:rPr>
        <w:t>单位负责人签字：</w:t>
      </w:r>
    </w:p>
    <w:sectPr>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5" w:lineRule="exact"/>
      <w:ind w:firstLine="7615"/>
      <w:rPr>
        <w:rFonts w:ascii="黑体" w:hAnsi="黑体" w:eastAsia="黑体" w:cs="黑体"/>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CFCC9"/>
    <w:multiLevelType w:val="singleLevel"/>
    <w:tmpl w:val="8DCCFCC9"/>
    <w:lvl w:ilvl="0" w:tentative="0">
      <w:start w:val="1"/>
      <w:numFmt w:val="chineseCounting"/>
      <w:suff w:val="nothing"/>
      <w:lvlText w:val="（%1）"/>
      <w:lvlJc w:val="left"/>
      <w:rPr>
        <w:rFonts w:hint="eastAsia"/>
      </w:rPr>
    </w:lvl>
  </w:abstractNum>
  <w:abstractNum w:abstractNumId="1">
    <w:nsid w:val="34B511F7"/>
    <w:multiLevelType w:val="singleLevel"/>
    <w:tmpl w:val="34B511F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1ZTM5NzViMzNjNDlkMzNmYzM3OGM5NDIyYzlhYzIifQ=="/>
  </w:docVars>
  <w:rsids>
    <w:rsidRoot w:val="5ADF569B"/>
    <w:rsid w:val="00B61152"/>
    <w:rsid w:val="07797AC6"/>
    <w:rsid w:val="0CB3217A"/>
    <w:rsid w:val="109253E6"/>
    <w:rsid w:val="12652426"/>
    <w:rsid w:val="13482047"/>
    <w:rsid w:val="17AC34F1"/>
    <w:rsid w:val="18363477"/>
    <w:rsid w:val="1D4622F1"/>
    <w:rsid w:val="26A44F5F"/>
    <w:rsid w:val="2C0E2AD1"/>
    <w:rsid w:val="2DA1246C"/>
    <w:rsid w:val="3AED7AAC"/>
    <w:rsid w:val="42C85CE3"/>
    <w:rsid w:val="4BA27A29"/>
    <w:rsid w:val="59BC1E0A"/>
    <w:rsid w:val="5ADF569B"/>
    <w:rsid w:val="62316C1B"/>
    <w:rsid w:val="63D30A93"/>
    <w:rsid w:val="6F3B0E82"/>
    <w:rsid w:val="765E213A"/>
    <w:rsid w:val="786A2665"/>
    <w:rsid w:val="7B9F7074"/>
    <w:rsid w:val="7EFC0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8155</Words>
  <Characters>8651</Characters>
  <Lines>0</Lines>
  <Paragraphs>0</Paragraphs>
  <TotalTime>1</TotalTime>
  <ScaleCrop>false</ScaleCrop>
  <LinksUpToDate>false</LinksUpToDate>
  <CharactersWithSpaces>9038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2022-05-30T08:34:00Z</dcterms:created>
  <dc:creator>cici</dc:creator>
  <cp:lastModifiedBy>周艳</cp:lastModifiedBy>
  <cp:lastPrinted>2022-06-01T02:29:00Z</cp:lastPrinted>
  <dcterms:modified xsi:type="dcterms:W3CDTF">2022-09-01T08:21:55Z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98629A1610F440F3A15E08FDEF8A1936</vt:lpwstr>
  </property>
</Properties>
</file>